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7362AE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7362AE" w:rsidRDefault="00857FF2">
            <w:pPr>
              <w:pStyle w:val="berschrift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33525" cy="1304925"/>
                  <wp:effectExtent l="0" t="0" r="9525" b="9525"/>
                  <wp:docPr id="1" name="Bild 1" descr="Logo_BAEK_mit_Schriftzug_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BAEK_mit_Schriftzug_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</w:tcPr>
          <w:p w:rsidR="007362AE" w:rsidRDefault="00857FF2">
            <w:pPr>
              <w:pStyle w:val="berschrift1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1285875" cy="1390650"/>
                  <wp:effectExtent l="0" t="0" r="9525" b="0"/>
                  <wp:docPr id="2" name="Bild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2AE" w:rsidRPr="009A672D" w:rsidRDefault="003410EF">
            <w:pPr>
              <w:pStyle w:val="berschrift6"/>
              <w:jc w:val="center"/>
              <w:rPr>
                <w:rFonts w:ascii="TitilliumText Regular" w:hAnsi="TitilliumText Regular"/>
                <w:b w:val="0"/>
                <w:color w:val="000000" w:themeColor="text1"/>
                <w:sz w:val="18"/>
              </w:rPr>
            </w:pPr>
            <w:r w:rsidRPr="00E75737">
              <w:rPr>
                <w:rFonts w:ascii="TitilliumText Regular" w:hAnsi="TitilliumText Regular"/>
                <w:b w:val="0"/>
                <w:sz w:val="18"/>
              </w:rPr>
              <w:t>Sächsis</w:t>
            </w:r>
            <w:bookmarkStart w:id="0" w:name="_GoBack"/>
            <w:bookmarkEnd w:id="0"/>
            <w:r w:rsidRPr="00E75737">
              <w:rPr>
                <w:rFonts w:ascii="TitilliumText Regular" w:hAnsi="TitilliumText Regular"/>
                <w:b w:val="0"/>
                <w:sz w:val="18"/>
              </w:rPr>
              <w:t xml:space="preserve">che </w:t>
            </w:r>
            <w:r w:rsidRPr="009A672D">
              <w:rPr>
                <w:rFonts w:ascii="TitilliumText Regular" w:hAnsi="TitilliumText Regular"/>
                <w:b w:val="0"/>
                <w:color w:val="000000" w:themeColor="text1"/>
                <w:sz w:val="18"/>
              </w:rPr>
              <w:t xml:space="preserve">Landesärztekammer </w:t>
            </w:r>
          </w:p>
          <w:p w:rsidR="007362AE" w:rsidRDefault="007362AE">
            <w:pPr>
              <w:jc w:val="center"/>
              <w:rPr>
                <w:sz w:val="18"/>
              </w:rPr>
            </w:pPr>
          </w:p>
        </w:tc>
      </w:tr>
    </w:tbl>
    <w:p w:rsidR="007362AE" w:rsidRPr="00E75737" w:rsidRDefault="007362AE">
      <w:pPr>
        <w:rPr>
          <w:rFonts w:ascii="TitilliumText Regular" w:hAnsi="TitilliumText Regular"/>
          <w:sz w:val="22"/>
          <w:szCs w:val="22"/>
        </w:rPr>
      </w:pPr>
    </w:p>
    <w:p w:rsidR="007362AE" w:rsidRPr="00264ABD" w:rsidRDefault="007362AE">
      <w:pPr>
        <w:pStyle w:val="berschrift1"/>
        <w:jc w:val="both"/>
        <w:rPr>
          <w:rFonts w:ascii="TitilliumText Bold" w:hAnsi="TitilliumText Bold"/>
          <w:b w:val="0"/>
          <w:sz w:val="22"/>
          <w:szCs w:val="22"/>
        </w:rPr>
      </w:pPr>
    </w:p>
    <w:p w:rsidR="007362AE" w:rsidRPr="00264ABD" w:rsidRDefault="007362AE">
      <w:pPr>
        <w:pStyle w:val="berschrift1"/>
        <w:jc w:val="both"/>
        <w:rPr>
          <w:rFonts w:ascii="TitilliumText Bold" w:hAnsi="TitilliumText Bold"/>
          <w:b w:val="0"/>
          <w:sz w:val="22"/>
          <w:szCs w:val="22"/>
        </w:rPr>
      </w:pPr>
    </w:p>
    <w:p w:rsidR="007362AE" w:rsidRPr="00136FC9" w:rsidRDefault="007362AE" w:rsidP="00BE5457">
      <w:pPr>
        <w:pStyle w:val="berschrift1"/>
        <w:autoSpaceDE w:val="0"/>
        <w:jc w:val="center"/>
        <w:rPr>
          <w:rFonts w:ascii="TitilliumText Bold" w:hAnsi="TitilliumText Bold"/>
          <w:b w:val="0"/>
          <w:sz w:val="28"/>
          <w:szCs w:val="28"/>
        </w:rPr>
      </w:pPr>
      <w:bookmarkStart w:id="1" w:name="OLE_LINK1"/>
      <w:r w:rsidRPr="00136FC9">
        <w:rPr>
          <w:rFonts w:ascii="TitilliumText Bold" w:hAnsi="TitilliumText Bold"/>
          <w:b w:val="0"/>
          <w:sz w:val="28"/>
          <w:szCs w:val="28"/>
        </w:rPr>
        <w:t>Muster-Arbeitsanweisung</w:t>
      </w:r>
      <w:r w:rsidRPr="00BF0DC6">
        <w:rPr>
          <w:rStyle w:val="Funotenzeichen"/>
          <w:rFonts w:ascii="TitilliumText Bold" w:hAnsi="TitilliumText Bold"/>
          <w:b w:val="0"/>
          <w:sz w:val="20"/>
        </w:rPr>
        <w:footnoteReference w:id="1"/>
      </w:r>
    </w:p>
    <w:p w:rsidR="007362AE" w:rsidRPr="00136FC9" w:rsidRDefault="007362AE">
      <w:pPr>
        <w:pStyle w:val="berschrift1"/>
        <w:jc w:val="center"/>
        <w:rPr>
          <w:rFonts w:ascii="TitilliumText Bold" w:hAnsi="TitilliumText Bold"/>
          <w:b w:val="0"/>
          <w:sz w:val="28"/>
          <w:szCs w:val="28"/>
        </w:rPr>
      </w:pPr>
    </w:p>
    <w:p w:rsidR="007362AE" w:rsidRPr="00136FC9" w:rsidRDefault="007362AE">
      <w:pPr>
        <w:pStyle w:val="berschrift1"/>
        <w:jc w:val="center"/>
        <w:rPr>
          <w:rFonts w:ascii="TitilliumText Bold" w:hAnsi="TitilliumText Bold"/>
          <w:b w:val="0"/>
          <w:sz w:val="28"/>
          <w:szCs w:val="28"/>
        </w:rPr>
      </w:pPr>
      <w:r w:rsidRPr="00136FC9">
        <w:rPr>
          <w:rFonts w:ascii="TitilliumText Bold" w:hAnsi="TitilliumText Bold"/>
          <w:b w:val="0"/>
          <w:sz w:val="28"/>
          <w:szCs w:val="28"/>
        </w:rPr>
        <w:t xml:space="preserve">zur </w:t>
      </w:r>
    </w:p>
    <w:p w:rsidR="007362AE" w:rsidRPr="00136FC9" w:rsidRDefault="007362AE">
      <w:pPr>
        <w:rPr>
          <w:rFonts w:ascii="TitilliumText Bold" w:hAnsi="TitilliumText Bold"/>
          <w:sz w:val="28"/>
          <w:szCs w:val="28"/>
        </w:rPr>
      </w:pPr>
    </w:p>
    <w:p w:rsidR="007362AE" w:rsidRPr="00136FC9" w:rsidRDefault="007362AE">
      <w:pPr>
        <w:pStyle w:val="berschrift1"/>
        <w:jc w:val="center"/>
        <w:rPr>
          <w:rFonts w:ascii="TitilliumText Bold" w:hAnsi="TitilliumText Bold"/>
          <w:b w:val="0"/>
          <w:sz w:val="28"/>
          <w:szCs w:val="28"/>
        </w:rPr>
      </w:pPr>
      <w:r w:rsidRPr="00136FC9">
        <w:rPr>
          <w:rFonts w:ascii="TitilliumText Bold" w:hAnsi="TitilliumText Bold"/>
          <w:b w:val="0"/>
          <w:sz w:val="28"/>
          <w:szCs w:val="28"/>
        </w:rPr>
        <w:t xml:space="preserve">Transfusion von </w:t>
      </w:r>
      <w:proofErr w:type="spellStart"/>
      <w:r w:rsidRPr="00136FC9">
        <w:rPr>
          <w:rFonts w:ascii="TitilliumText Bold" w:hAnsi="TitilliumText Bold"/>
          <w:b w:val="0"/>
          <w:sz w:val="28"/>
          <w:szCs w:val="28"/>
        </w:rPr>
        <w:t>Erythroz</w:t>
      </w:r>
      <w:r w:rsidRPr="00136FC9">
        <w:rPr>
          <w:rFonts w:ascii="TitilliumText Bold" w:hAnsi="TitilliumText Bold"/>
          <w:b w:val="0"/>
          <w:sz w:val="28"/>
          <w:szCs w:val="28"/>
        </w:rPr>
        <w:t>y</w:t>
      </w:r>
      <w:r w:rsidRPr="00136FC9">
        <w:rPr>
          <w:rFonts w:ascii="TitilliumText Bold" w:hAnsi="TitilliumText Bold"/>
          <w:b w:val="0"/>
          <w:sz w:val="28"/>
          <w:szCs w:val="28"/>
        </w:rPr>
        <w:t>tenkonzentraten</w:t>
      </w:r>
      <w:proofErr w:type="spellEnd"/>
      <w:r w:rsidRPr="00136FC9">
        <w:rPr>
          <w:rFonts w:ascii="TitilliumText Bold" w:hAnsi="TitilliumText Bold"/>
          <w:b w:val="0"/>
          <w:sz w:val="28"/>
          <w:szCs w:val="28"/>
        </w:rPr>
        <w:t xml:space="preserve"> (EK)</w:t>
      </w:r>
    </w:p>
    <w:bookmarkEnd w:id="1"/>
    <w:p w:rsidR="007362AE" w:rsidRPr="00136FC9" w:rsidRDefault="007362AE">
      <w:pPr>
        <w:jc w:val="center"/>
        <w:rPr>
          <w:rFonts w:ascii="TitilliumText Bold" w:hAnsi="TitilliumText Bold" w:cs="Arial"/>
          <w:bCs/>
          <w:sz w:val="28"/>
          <w:szCs w:val="28"/>
        </w:rPr>
      </w:pPr>
      <w:r w:rsidRPr="00136FC9">
        <w:rPr>
          <w:rFonts w:ascii="TitilliumText Bold" w:hAnsi="TitilliumText Bold" w:cs="Arial"/>
          <w:bCs/>
          <w:sz w:val="28"/>
          <w:szCs w:val="28"/>
        </w:rPr>
        <w:t>unter den besonderen Bedingungen des Abschnitts 1.6.2.1 b)</w:t>
      </w:r>
    </w:p>
    <w:p w:rsidR="007362AE" w:rsidRPr="00E75737" w:rsidRDefault="007362AE">
      <w:pPr>
        <w:pStyle w:val="Textkrper3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>(„Transfusion von EK - maximal 50 pro Jahr - ausschließlich durch den ärztlichen Leiter der Ei</w:t>
      </w:r>
      <w:r w:rsidRPr="00E75737">
        <w:rPr>
          <w:rFonts w:ascii="TitilliumText Regular" w:hAnsi="TitilliumText Regular"/>
          <w:sz w:val="22"/>
          <w:szCs w:val="22"/>
        </w:rPr>
        <w:t>n</w:t>
      </w:r>
      <w:r w:rsidRPr="00E75737">
        <w:rPr>
          <w:rFonts w:ascii="TitilliumText Regular" w:hAnsi="TitilliumText Regular"/>
          <w:sz w:val="22"/>
          <w:szCs w:val="22"/>
        </w:rPr>
        <w:t>richtung“)</w:t>
      </w:r>
    </w:p>
    <w:p w:rsidR="007362AE" w:rsidRPr="00E75737" w:rsidRDefault="007362AE">
      <w:pPr>
        <w:jc w:val="center"/>
        <w:rPr>
          <w:rFonts w:ascii="TitilliumText Regular" w:hAnsi="TitilliumText Regular" w:cs="Arial"/>
          <w:sz w:val="22"/>
          <w:szCs w:val="22"/>
        </w:rPr>
      </w:pPr>
    </w:p>
    <w:p w:rsidR="007362AE" w:rsidRPr="00E75737" w:rsidRDefault="007362AE">
      <w:pPr>
        <w:jc w:val="center"/>
        <w:rPr>
          <w:rFonts w:ascii="TitilliumText Regular" w:hAnsi="TitilliumText Regular" w:cs="Arial"/>
          <w:sz w:val="22"/>
          <w:szCs w:val="22"/>
        </w:rPr>
      </w:pPr>
      <w:r w:rsidRPr="00E75737">
        <w:rPr>
          <w:rFonts w:ascii="TitilliumText Regular" w:hAnsi="TitilliumText Regular" w:cs="Arial"/>
          <w:sz w:val="22"/>
          <w:szCs w:val="22"/>
        </w:rPr>
        <w:t xml:space="preserve">der </w:t>
      </w:r>
    </w:p>
    <w:p w:rsidR="007362AE" w:rsidRPr="00E75737" w:rsidRDefault="007362AE">
      <w:pPr>
        <w:jc w:val="center"/>
        <w:rPr>
          <w:rFonts w:ascii="TitilliumText Regular" w:hAnsi="TitilliumText Regular" w:cs="Arial"/>
          <w:sz w:val="22"/>
          <w:szCs w:val="22"/>
        </w:rPr>
      </w:pPr>
    </w:p>
    <w:p w:rsidR="007362AE" w:rsidRPr="00E75737" w:rsidRDefault="007362AE" w:rsidP="00BE5457">
      <w:pPr>
        <w:autoSpaceDE w:val="0"/>
        <w:jc w:val="center"/>
        <w:rPr>
          <w:rFonts w:ascii="TitilliumText Regular" w:hAnsi="TitilliumText Regular" w:cs="Arial"/>
          <w:iCs/>
          <w:sz w:val="22"/>
          <w:szCs w:val="22"/>
        </w:rPr>
      </w:pPr>
      <w:r w:rsidRPr="00E75737">
        <w:rPr>
          <w:rFonts w:ascii="TitilliumText Regular" w:hAnsi="TitilliumText Regular" w:cs="Arial"/>
          <w:i/>
          <w:iCs/>
          <w:sz w:val="22"/>
          <w:szCs w:val="22"/>
        </w:rPr>
        <w:t>Richtlinien zur Gewinnung von Blut und Blutbestandteilen und zur A</w:t>
      </w:r>
      <w:r w:rsidRPr="00E75737">
        <w:rPr>
          <w:rFonts w:ascii="TitilliumText Regular" w:hAnsi="TitilliumText Regular" w:cs="Arial"/>
          <w:i/>
          <w:iCs/>
          <w:sz w:val="22"/>
          <w:szCs w:val="22"/>
        </w:rPr>
        <w:t>n</w:t>
      </w:r>
      <w:r w:rsidRPr="00E75737">
        <w:rPr>
          <w:rFonts w:ascii="TitilliumText Regular" w:hAnsi="TitilliumText Regular" w:cs="Arial"/>
          <w:i/>
          <w:iCs/>
          <w:sz w:val="22"/>
          <w:szCs w:val="22"/>
        </w:rPr>
        <w:t>wendung von Blutprodukten (Hämotherapie)</w:t>
      </w:r>
      <w:r w:rsidRPr="001D3590">
        <w:rPr>
          <w:rStyle w:val="Funotenzeichen"/>
          <w:rFonts w:ascii="TitilliumText Regular" w:hAnsi="TitilliumText Regular" w:cs="Arial"/>
          <w:i/>
          <w:iCs/>
          <w:szCs w:val="16"/>
        </w:rPr>
        <w:footnoteReference w:id="2"/>
      </w:r>
    </w:p>
    <w:p w:rsidR="007362AE" w:rsidRPr="00E75737" w:rsidRDefault="007362AE">
      <w:pPr>
        <w:jc w:val="center"/>
        <w:rPr>
          <w:rFonts w:ascii="TitilliumText Regular" w:hAnsi="TitilliumText Regular" w:cs="Arial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 w:cs="Arial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pStyle w:val="berschrift2"/>
        <w:jc w:val="both"/>
        <w:rPr>
          <w:rFonts w:ascii="TitilliumText Bold" w:hAnsi="TitilliumText Bold"/>
          <w:b w:val="0"/>
          <w:bCs/>
          <w:sz w:val="22"/>
          <w:szCs w:val="22"/>
        </w:rPr>
      </w:pPr>
    </w:p>
    <w:p w:rsidR="007362AE" w:rsidRPr="00E75737" w:rsidRDefault="003410EF">
      <w:pPr>
        <w:pStyle w:val="berschrift1"/>
        <w:jc w:val="both"/>
        <w:rPr>
          <w:rFonts w:ascii="TitilliumText Bold" w:hAnsi="TitilliumText Bold"/>
          <w:b w:val="0"/>
          <w:sz w:val="22"/>
          <w:szCs w:val="22"/>
        </w:rPr>
      </w:pPr>
      <w:r w:rsidRPr="00E75737">
        <w:rPr>
          <w:rFonts w:ascii="TitilliumText Bold" w:hAnsi="TitilliumText Bold"/>
          <w:b w:val="0"/>
          <w:sz w:val="22"/>
          <w:szCs w:val="22"/>
        </w:rPr>
        <w:t xml:space="preserve">Stand </w:t>
      </w:r>
      <w:r w:rsidR="00AE0DF6">
        <w:rPr>
          <w:rFonts w:ascii="TitilliumText Bold" w:hAnsi="TitilliumText Bold"/>
          <w:b w:val="0"/>
          <w:sz w:val="22"/>
          <w:szCs w:val="22"/>
        </w:rPr>
        <w:t>2010</w:t>
      </w:r>
    </w:p>
    <w:p w:rsidR="007362AE" w:rsidRPr="00E75737" w:rsidRDefault="007362AE">
      <w:pPr>
        <w:pStyle w:val="berschrift2"/>
        <w:jc w:val="both"/>
        <w:rPr>
          <w:rFonts w:ascii="TitilliumText Bold" w:hAnsi="TitilliumText Bold"/>
          <w:b w:val="0"/>
          <w:bCs/>
          <w:sz w:val="22"/>
          <w:szCs w:val="22"/>
        </w:rPr>
      </w:pPr>
    </w:p>
    <w:p w:rsidR="007362AE" w:rsidRPr="00E75737" w:rsidRDefault="007362AE">
      <w:pPr>
        <w:pStyle w:val="berschrift2"/>
        <w:jc w:val="both"/>
        <w:rPr>
          <w:rFonts w:ascii="TitilliumText Bold" w:hAnsi="TitilliumText Bold"/>
          <w:b w:val="0"/>
          <w:bCs/>
          <w:sz w:val="22"/>
          <w:szCs w:val="22"/>
        </w:rPr>
      </w:pPr>
      <w:r w:rsidRPr="00E75737">
        <w:rPr>
          <w:rFonts w:ascii="TitilliumText Regular" w:hAnsi="TitilliumText Regular"/>
          <w:bCs/>
          <w:sz w:val="22"/>
          <w:szCs w:val="22"/>
        </w:rPr>
        <w:br w:type="page"/>
      </w:r>
      <w:r w:rsidRPr="00E75737">
        <w:rPr>
          <w:rFonts w:ascii="TitilliumText Bold" w:hAnsi="TitilliumText Bold"/>
          <w:b w:val="0"/>
          <w:bCs/>
          <w:sz w:val="22"/>
          <w:szCs w:val="22"/>
        </w:rPr>
        <w:lastRenderedPageBreak/>
        <w:t>Einführung</w:t>
      </w: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 w:rsidP="00BE5457">
      <w:pPr>
        <w:pStyle w:val="Textkrper"/>
        <w:autoSpaceDE w:val="0"/>
        <w:jc w:val="both"/>
        <w:rPr>
          <w:rFonts w:ascii="TitilliumText Regular" w:hAnsi="TitilliumText Regular"/>
          <w:i w:val="0"/>
          <w:iCs w:val="0"/>
          <w:sz w:val="22"/>
          <w:szCs w:val="22"/>
        </w:rPr>
      </w:pPr>
      <w:r w:rsidRPr="00E75737">
        <w:rPr>
          <w:rFonts w:ascii="TitilliumText Regular" w:hAnsi="TitilliumText Regular"/>
          <w:i w:val="0"/>
          <w:iCs w:val="0"/>
          <w:sz w:val="22"/>
          <w:szCs w:val="22"/>
        </w:rPr>
        <w:t xml:space="preserve">Die vorliegende Muster-Arbeitsanweisung ist eine Hilfestellung zur Umsetzung von Abschnitt 1.6.2.1, Buchstabe b) der </w:t>
      </w:r>
      <w:r w:rsidRPr="00E75737">
        <w:rPr>
          <w:rFonts w:ascii="TitilliumText Regular" w:hAnsi="TitilliumText Regular"/>
          <w:sz w:val="22"/>
          <w:szCs w:val="22"/>
        </w:rPr>
        <w:t>Richtlinien zur Hämotherapie</w:t>
      </w:r>
      <w:r w:rsidRPr="00E75737">
        <w:rPr>
          <w:rFonts w:ascii="TitilliumText Regular" w:hAnsi="TitilliumText Regular"/>
          <w:sz w:val="22"/>
          <w:szCs w:val="22"/>
          <w:vertAlign w:val="superscript"/>
        </w:rPr>
        <w:t>2</w:t>
      </w:r>
      <w:r w:rsidRPr="00E75737">
        <w:rPr>
          <w:rFonts w:ascii="TitilliumText Regular" w:hAnsi="TitilliumText Regular"/>
          <w:i w:val="0"/>
          <w:iCs w:val="0"/>
          <w:sz w:val="22"/>
          <w:szCs w:val="22"/>
        </w:rPr>
        <w:t xml:space="preserve">. </w:t>
      </w:r>
    </w:p>
    <w:p w:rsidR="007362AE" w:rsidRPr="00E75737" w:rsidRDefault="007362AE">
      <w:pPr>
        <w:pStyle w:val="Textkrper"/>
        <w:jc w:val="both"/>
        <w:rPr>
          <w:rFonts w:ascii="TitilliumText Regular" w:hAnsi="TitilliumText Regular"/>
          <w:i w:val="0"/>
          <w:iCs w:val="0"/>
          <w:sz w:val="22"/>
          <w:szCs w:val="22"/>
        </w:rPr>
      </w:pPr>
    </w:p>
    <w:p w:rsidR="007362AE" w:rsidRPr="00E75737" w:rsidRDefault="007362AE" w:rsidP="00BE5457">
      <w:pPr>
        <w:pStyle w:val="Textkrper"/>
        <w:autoSpaceDE w:val="0"/>
        <w:jc w:val="both"/>
        <w:rPr>
          <w:rFonts w:ascii="TitilliumText Regular" w:hAnsi="TitilliumText Regular"/>
          <w:i w:val="0"/>
          <w:iCs w:val="0"/>
          <w:sz w:val="22"/>
          <w:szCs w:val="22"/>
        </w:rPr>
      </w:pPr>
      <w:r w:rsidRPr="00E75737">
        <w:rPr>
          <w:rFonts w:ascii="TitilliumText Regular" w:hAnsi="TitilliumText Regular"/>
          <w:i w:val="0"/>
          <w:iCs w:val="0"/>
          <w:sz w:val="22"/>
          <w:szCs w:val="22"/>
        </w:rPr>
        <w:t xml:space="preserve">Das vorliegende Muster bezieht sich daher </w:t>
      </w:r>
      <w:r w:rsidRPr="00E75737">
        <w:rPr>
          <w:rFonts w:ascii="TitilliumText Regular" w:hAnsi="TitilliumText Regular"/>
          <w:i w:val="0"/>
          <w:iCs w:val="0"/>
          <w:sz w:val="22"/>
          <w:szCs w:val="22"/>
          <w:u w:val="single"/>
        </w:rPr>
        <w:t>nur</w:t>
      </w:r>
      <w:r w:rsidRPr="00E75737">
        <w:rPr>
          <w:rFonts w:ascii="TitilliumText Regular" w:hAnsi="TitilliumText Regular"/>
          <w:i w:val="0"/>
          <w:iCs w:val="0"/>
          <w:sz w:val="22"/>
          <w:szCs w:val="22"/>
        </w:rPr>
        <w:t xml:space="preserve"> auf Einrichtungen, bei denen </w:t>
      </w:r>
      <w:r w:rsidRPr="00E75737">
        <w:rPr>
          <w:rFonts w:ascii="TitilliumText Regular" w:hAnsi="TitilliumText Regular"/>
          <w:i w:val="0"/>
          <w:iCs w:val="0"/>
          <w:sz w:val="22"/>
          <w:szCs w:val="22"/>
          <w:u w:val="single"/>
        </w:rPr>
        <w:t>alle</w:t>
      </w:r>
      <w:r w:rsidRPr="00E75737">
        <w:rPr>
          <w:rFonts w:ascii="TitilliumText Regular" w:hAnsi="TitilliumText Regular"/>
          <w:i w:val="0"/>
          <w:iCs w:val="0"/>
          <w:sz w:val="22"/>
          <w:szCs w:val="22"/>
        </w:rPr>
        <w:t xml:space="preserve"> der folgenden b</w:t>
      </w:r>
      <w:r w:rsidRPr="00E75737">
        <w:rPr>
          <w:rFonts w:ascii="TitilliumText Regular" w:hAnsi="TitilliumText Regular"/>
          <w:i w:val="0"/>
          <w:iCs w:val="0"/>
          <w:sz w:val="22"/>
          <w:szCs w:val="22"/>
        </w:rPr>
        <w:t>e</w:t>
      </w:r>
      <w:r w:rsidRPr="00E75737">
        <w:rPr>
          <w:rFonts w:ascii="TitilliumText Regular" w:hAnsi="TitilliumText Regular"/>
          <w:i w:val="0"/>
          <w:iCs w:val="0"/>
          <w:sz w:val="22"/>
          <w:szCs w:val="22"/>
        </w:rPr>
        <w:t>sonderen Voraussetzungen erfüllt sind:</w:t>
      </w:r>
    </w:p>
    <w:p w:rsidR="007362AE" w:rsidRPr="00E75737" w:rsidRDefault="007362AE">
      <w:pPr>
        <w:pStyle w:val="Funotentext"/>
        <w:spacing w:line="240" w:lineRule="auto"/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numPr>
          <w:ilvl w:val="0"/>
          <w:numId w:val="5"/>
        </w:numPr>
        <w:tabs>
          <w:tab w:val="clear" w:pos="720"/>
          <w:tab w:val="num" w:pos="-720"/>
        </w:tabs>
        <w:jc w:val="both"/>
        <w:rPr>
          <w:rFonts w:ascii="TitilliumText Regular" w:hAnsi="TitilliumText Regular" w:cs="Arial"/>
          <w:sz w:val="22"/>
          <w:szCs w:val="22"/>
        </w:rPr>
      </w:pPr>
      <w:r w:rsidRPr="00E75737">
        <w:rPr>
          <w:rFonts w:ascii="TitilliumText Regular" w:hAnsi="TitilliumText Regular" w:cs="Arial"/>
          <w:sz w:val="22"/>
          <w:szCs w:val="22"/>
        </w:rPr>
        <w:t>In der Einrichtung der Krankenversorgung werden jährlich weniger als 50 Erythrozytenko</w:t>
      </w:r>
      <w:r w:rsidRPr="00E75737">
        <w:rPr>
          <w:rFonts w:ascii="TitilliumText Regular" w:hAnsi="TitilliumText Regular" w:cs="Arial"/>
          <w:sz w:val="22"/>
          <w:szCs w:val="22"/>
        </w:rPr>
        <w:t>n</w:t>
      </w:r>
      <w:r w:rsidRPr="00E75737">
        <w:rPr>
          <w:rFonts w:ascii="TitilliumText Regular" w:hAnsi="TitilliumText Regular" w:cs="Arial"/>
          <w:sz w:val="22"/>
          <w:szCs w:val="22"/>
        </w:rPr>
        <w:t>zentrate transfundiert.</w:t>
      </w:r>
    </w:p>
    <w:p w:rsidR="007362AE" w:rsidRPr="00E75737" w:rsidRDefault="007362AE">
      <w:pPr>
        <w:numPr>
          <w:ilvl w:val="0"/>
          <w:numId w:val="5"/>
        </w:numPr>
        <w:tabs>
          <w:tab w:val="clear" w:pos="720"/>
          <w:tab w:val="num" w:pos="-360"/>
        </w:tabs>
        <w:jc w:val="both"/>
        <w:rPr>
          <w:rFonts w:ascii="TitilliumText Regular" w:hAnsi="TitilliumText Regular" w:cs="Arial"/>
          <w:sz w:val="22"/>
          <w:szCs w:val="22"/>
        </w:rPr>
      </w:pPr>
      <w:r w:rsidRPr="00E75737">
        <w:rPr>
          <w:rFonts w:ascii="TitilliumText Regular" w:hAnsi="TitilliumText Regular" w:cs="Arial"/>
          <w:sz w:val="22"/>
          <w:szCs w:val="22"/>
        </w:rPr>
        <w:t xml:space="preserve">Die Anwendung von </w:t>
      </w:r>
      <w:proofErr w:type="spellStart"/>
      <w:r w:rsidRPr="00E75737">
        <w:rPr>
          <w:rFonts w:ascii="TitilliumText Regular" w:hAnsi="TitilliumText Regular" w:cs="Arial"/>
          <w:sz w:val="22"/>
          <w:szCs w:val="22"/>
        </w:rPr>
        <w:t>Erythrozytenkonzentraten</w:t>
      </w:r>
      <w:proofErr w:type="spellEnd"/>
      <w:r w:rsidRPr="00E75737">
        <w:rPr>
          <w:rFonts w:ascii="TitilliumText Regular" w:hAnsi="TitilliumText Regular" w:cs="Arial"/>
          <w:sz w:val="22"/>
          <w:szCs w:val="22"/>
        </w:rPr>
        <w:t xml:space="preserve"> erfolgt ausschließlich durch den ärztlichen Le</w:t>
      </w:r>
      <w:r w:rsidRPr="00E75737">
        <w:rPr>
          <w:rFonts w:ascii="TitilliumText Regular" w:hAnsi="TitilliumText Regular" w:cs="Arial"/>
          <w:sz w:val="22"/>
          <w:szCs w:val="22"/>
        </w:rPr>
        <w:t>i</w:t>
      </w:r>
      <w:r w:rsidRPr="00E75737">
        <w:rPr>
          <w:rFonts w:ascii="TitilliumText Regular" w:hAnsi="TitilliumText Regular" w:cs="Arial"/>
          <w:sz w:val="22"/>
          <w:szCs w:val="22"/>
        </w:rPr>
        <w:t>ter der Einrichtung.</w:t>
      </w:r>
    </w:p>
    <w:p w:rsidR="007362AE" w:rsidRPr="00E75737" w:rsidRDefault="007362AE">
      <w:pPr>
        <w:numPr>
          <w:ilvl w:val="0"/>
          <w:numId w:val="5"/>
        </w:numPr>
        <w:tabs>
          <w:tab w:val="clear" w:pos="720"/>
          <w:tab w:val="num" w:pos="-360"/>
        </w:tabs>
        <w:jc w:val="both"/>
        <w:rPr>
          <w:rFonts w:ascii="TitilliumText Regular" w:hAnsi="TitilliumText Regular" w:cs="Arial"/>
          <w:sz w:val="22"/>
          <w:szCs w:val="22"/>
        </w:rPr>
      </w:pPr>
      <w:r w:rsidRPr="00E75737">
        <w:rPr>
          <w:rFonts w:ascii="TitilliumText Regular" w:hAnsi="TitilliumText Regular" w:cs="Arial"/>
          <w:sz w:val="22"/>
          <w:szCs w:val="22"/>
        </w:rPr>
        <w:t>Andere Blutkomponenten oder Plasmaderivate zur Behandlung von Hämostasest</w:t>
      </w:r>
      <w:r w:rsidRPr="00E75737">
        <w:rPr>
          <w:rFonts w:ascii="TitilliumText Regular" w:hAnsi="TitilliumText Regular" w:cs="Arial"/>
          <w:sz w:val="22"/>
          <w:szCs w:val="22"/>
        </w:rPr>
        <w:t>ö</w:t>
      </w:r>
      <w:r w:rsidRPr="00E75737">
        <w:rPr>
          <w:rFonts w:ascii="TitilliumText Regular" w:hAnsi="TitilliumText Regular" w:cs="Arial"/>
          <w:sz w:val="22"/>
          <w:szCs w:val="22"/>
        </w:rPr>
        <w:t>rungen werden in der Einrichtung nicht angewendet.</w:t>
      </w:r>
    </w:p>
    <w:p w:rsidR="007362AE" w:rsidRPr="00E75737" w:rsidRDefault="007362AE">
      <w:pPr>
        <w:numPr>
          <w:ilvl w:val="0"/>
          <w:numId w:val="5"/>
        </w:numPr>
        <w:tabs>
          <w:tab w:val="clear" w:pos="720"/>
          <w:tab w:val="num" w:pos="-360"/>
        </w:tabs>
        <w:jc w:val="both"/>
        <w:rPr>
          <w:rFonts w:ascii="TitilliumText Regular" w:hAnsi="TitilliumText Regular" w:cs="Arial"/>
          <w:sz w:val="22"/>
          <w:szCs w:val="22"/>
        </w:rPr>
      </w:pPr>
      <w:r w:rsidRPr="00E75737">
        <w:rPr>
          <w:rFonts w:ascii="TitilliumText Regular" w:hAnsi="TitilliumText Regular" w:cs="Arial"/>
          <w:sz w:val="22"/>
          <w:szCs w:val="22"/>
        </w:rPr>
        <w:t>In der Einrichtung der Krankenversorgung werden regelmäßig nur einem Patienten zum se</w:t>
      </w:r>
      <w:r w:rsidRPr="00E75737">
        <w:rPr>
          <w:rFonts w:ascii="TitilliumText Regular" w:hAnsi="TitilliumText Regular" w:cs="Arial"/>
          <w:sz w:val="22"/>
          <w:szCs w:val="22"/>
        </w:rPr>
        <w:t>l</w:t>
      </w:r>
      <w:r w:rsidRPr="00E75737">
        <w:rPr>
          <w:rFonts w:ascii="TitilliumText Regular" w:hAnsi="TitilliumText Regular" w:cs="Arial"/>
          <w:sz w:val="22"/>
          <w:szCs w:val="22"/>
        </w:rPr>
        <w:t>ben Zeitpunkt Erythrozytenkonzentrate transfundiert.</w:t>
      </w:r>
    </w:p>
    <w:p w:rsidR="007362AE" w:rsidRPr="00E75737" w:rsidRDefault="007362AE">
      <w:pPr>
        <w:numPr>
          <w:ilvl w:val="0"/>
          <w:numId w:val="5"/>
        </w:numPr>
        <w:tabs>
          <w:tab w:val="clear" w:pos="720"/>
          <w:tab w:val="num" w:pos="-360"/>
        </w:tabs>
        <w:jc w:val="both"/>
        <w:rPr>
          <w:rFonts w:ascii="TitilliumText Regular" w:hAnsi="TitilliumText Regular" w:cs="Arial"/>
          <w:sz w:val="22"/>
          <w:szCs w:val="22"/>
        </w:rPr>
      </w:pPr>
      <w:r w:rsidRPr="00E75737">
        <w:rPr>
          <w:rFonts w:ascii="TitilliumText Regular" w:hAnsi="TitilliumText Regular" w:cs="Arial"/>
          <w:sz w:val="22"/>
          <w:szCs w:val="22"/>
        </w:rPr>
        <w:t>Sämtliche Prozess-Schritte der Erythrozytentransfusion finden in der Verantwortung des ärz</w:t>
      </w:r>
      <w:r w:rsidRPr="00E75737">
        <w:rPr>
          <w:rFonts w:ascii="TitilliumText Regular" w:hAnsi="TitilliumText Regular" w:cs="Arial"/>
          <w:sz w:val="22"/>
          <w:szCs w:val="22"/>
        </w:rPr>
        <w:t>t</w:t>
      </w:r>
      <w:r w:rsidRPr="00E75737">
        <w:rPr>
          <w:rFonts w:ascii="TitilliumText Regular" w:hAnsi="TitilliumText Regular" w:cs="Arial"/>
          <w:sz w:val="22"/>
          <w:szCs w:val="22"/>
        </w:rPr>
        <w:t>lichen Leiters der Einrichtung statt.</w:t>
      </w: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 w:rsidP="00BE5457">
      <w:pPr>
        <w:autoSpaceDE w:val="0"/>
        <w:jc w:val="both"/>
        <w:rPr>
          <w:rFonts w:ascii="TitilliumText Regular" w:hAnsi="TitilliumText Regular" w:cs="Arial"/>
          <w:sz w:val="22"/>
          <w:szCs w:val="22"/>
        </w:rPr>
      </w:pPr>
      <w:r w:rsidRPr="00E75737">
        <w:rPr>
          <w:rFonts w:ascii="TitilliumText Regular" w:hAnsi="TitilliumText Regular" w:cs="Arial"/>
          <w:sz w:val="22"/>
          <w:szCs w:val="22"/>
        </w:rPr>
        <w:t xml:space="preserve">Unter diesen besonderen Bedingungen wird nach Abschnitt 1.6.2.1 der </w:t>
      </w:r>
      <w:r w:rsidRPr="00E75737">
        <w:rPr>
          <w:rFonts w:ascii="TitilliumText Regular" w:hAnsi="TitilliumText Regular" w:cs="Arial"/>
          <w:i/>
          <w:iCs/>
          <w:sz w:val="22"/>
          <w:szCs w:val="22"/>
        </w:rPr>
        <w:t>Richtlinien zur Hämotherapie</w:t>
      </w:r>
      <w:r w:rsidRPr="00E75737">
        <w:rPr>
          <w:rFonts w:ascii="TitilliumText Regular" w:hAnsi="TitilliumText Regular" w:cs="Arial"/>
          <w:i/>
          <w:iCs/>
          <w:sz w:val="22"/>
          <w:szCs w:val="22"/>
          <w:vertAlign w:val="superscript"/>
        </w:rPr>
        <w:t>2</w:t>
      </w:r>
      <w:r w:rsidRPr="00E75737">
        <w:rPr>
          <w:rFonts w:ascii="TitilliumText Regular" w:hAnsi="TitilliumText Regular" w:cs="Arial"/>
          <w:sz w:val="22"/>
          <w:szCs w:val="22"/>
        </w:rPr>
        <w:t xml:space="preserve"> die Überwachung des Qualitätssicherungssystems nach § 18 Abs. 1 Nr. 2 Transfusionsgesetz dergestalt umgesetzt, dass der ärztl</w:t>
      </w:r>
      <w:r w:rsidRPr="00E75737">
        <w:rPr>
          <w:rFonts w:ascii="TitilliumText Regular" w:hAnsi="TitilliumText Regular" w:cs="Arial"/>
          <w:sz w:val="22"/>
          <w:szCs w:val="22"/>
        </w:rPr>
        <w:t>i</w:t>
      </w:r>
      <w:r w:rsidRPr="00E75737">
        <w:rPr>
          <w:rFonts w:ascii="TitilliumText Regular" w:hAnsi="TitilliumText Regular" w:cs="Arial"/>
          <w:sz w:val="22"/>
          <w:szCs w:val="22"/>
        </w:rPr>
        <w:t>che Leiter der Einrichtungen die folgenden Dokumente jährlich bis zum 1. März an die zuständige Ärztekammer sendet:</w:t>
      </w: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 w:rsidP="00BE5457">
      <w:pPr>
        <w:numPr>
          <w:ilvl w:val="1"/>
          <w:numId w:val="5"/>
        </w:numPr>
        <w:tabs>
          <w:tab w:val="clear" w:pos="1440"/>
          <w:tab w:val="num" w:pos="851"/>
        </w:tabs>
        <w:autoSpaceDE w:val="0"/>
        <w:ind w:left="851" w:hanging="284"/>
        <w:rPr>
          <w:rFonts w:ascii="TitilliumText Regular" w:hAnsi="TitilliumText Regular" w:cs="Arial"/>
          <w:i/>
          <w:iCs/>
          <w:sz w:val="22"/>
          <w:szCs w:val="22"/>
        </w:rPr>
      </w:pPr>
      <w:r w:rsidRPr="00E75737">
        <w:rPr>
          <w:rFonts w:ascii="TitilliumText Regular" w:hAnsi="TitilliumText Regular" w:cs="Arial"/>
          <w:sz w:val="22"/>
          <w:szCs w:val="22"/>
        </w:rPr>
        <w:t xml:space="preserve">Nachweis der Qualifikationsvoraussetzungen nach Abschnitt 1.4.3.1 f) der </w:t>
      </w:r>
      <w:r w:rsidRPr="00E75737">
        <w:rPr>
          <w:rFonts w:ascii="TitilliumText Regular" w:hAnsi="TitilliumText Regular" w:cs="Arial"/>
          <w:i/>
          <w:iCs/>
          <w:sz w:val="22"/>
          <w:szCs w:val="22"/>
        </w:rPr>
        <w:t>Richtlinien zur Hämoth</w:t>
      </w:r>
      <w:r w:rsidRPr="00E75737">
        <w:rPr>
          <w:rFonts w:ascii="TitilliumText Regular" w:hAnsi="TitilliumText Regular" w:cs="Arial"/>
          <w:i/>
          <w:iCs/>
          <w:sz w:val="22"/>
          <w:szCs w:val="22"/>
        </w:rPr>
        <w:t>e</w:t>
      </w:r>
      <w:r w:rsidRPr="00E75737">
        <w:rPr>
          <w:rFonts w:ascii="TitilliumText Regular" w:hAnsi="TitilliumText Regular" w:cs="Arial"/>
          <w:i/>
          <w:iCs/>
          <w:sz w:val="22"/>
          <w:szCs w:val="22"/>
        </w:rPr>
        <w:t>rapie</w:t>
      </w:r>
      <w:r w:rsidRPr="00E75737">
        <w:rPr>
          <w:rFonts w:ascii="TitilliumText Regular" w:hAnsi="TitilliumText Regular" w:cs="Arial"/>
          <w:sz w:val="22"/>
          <w:szCs w:val="22"/>
          <w:vertAlign w:val="superscript"/>
        </w:rPr>
        <w:t>2</w:t>
      </w:r>
    </w:p>
    <w:p w:rsidR="007362AE" w:rsidRPr="00E75737" w:rsidRDefault="007362AE">
      <w:pPr>
        <w:pStyle w:val="Textkrper-Einzug3"/>
        <w:numPr>
          <w:ilvl w:val="1"/>
          <w:numId w:val="5"/>
        </w:numPr>
        <w:tabs>
          <w:tab w:val="clear" w:pos="1440"/>
          <w:tab w:val="num" w:pos="851"/>
        </w:tabs>
        <w:ind w:left="851" w:hanging="284"/>
        <w:jc w:val="left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 xml:space="preserve">Eine von ihm selbst unterzeichnete Arbeitsanweisung zur Transfusion eines </w:t>
      </w:r>
      <w:proofErr w:type="spellStart"/>
      <w:r w:rsidRPr="00E75737">
        <w:rPr>
          <w:rFonts w:ascii="TitilliumText Regular" w:hAnsi="TitilliumText Regular"/>
          <w:sz w:val="22"/>
          <w:szCs w:val="22"/>
        </w:rPr>
        <w:t>Erythrozyte</w:t>
      </w:r>
      <w:r w:rsidRPr="00E75737">
        <w:rPr>
          <w:rFonts w:ascii="TitilliumText Regular" w:hAnsi="TitilliumText Regular"/>
          <w:sz w:val="22"/>
          <w:szCs w:val="22"/>
        </w:rPr>
        <w:t>n</w:t>
      </w:r>
      <w:r w:rsidRPr="00E75737">
        <w:rPr>
          <w:rFonts w:ascii="TitilliumText Regular" w:hAnsi="TitilliumText Regular"/>
          <w:sz w:val="22"/>
          <w:szCs w:val="22"/>
        </w:rPr>
        <w:t>konzentrats</w:t>
      </w:r>
      <w:proofErr w:type="spellEnd"/>
      <w:r w:rsidRPr="00E75737">
        <w:rPr>
          <w:rFonts w:ascii="TitilliumText Regular" w:hAnsi="TitilliumText Regular"/>
          <w:sz w:val="22"/>
          <w:szCs w:val="22"/>
        </w:rPr>
        <w:t>, mit der Selbstverpflichtung, diese als Standard zu beachten.</w:t>
      </w:r>
    </w:p>
    <w:p w:rsidR="007362AE" w:rsidRPr="00E75737" w:rsidRDefault="007362AE">
      <w:pPr>
        <w:pStyle w:val="Textkrper-Einzug3"/>
        <w:numPr>
          <w:ilvl w:val="1"/>
          <w:numId w:val="5"/>
        </w:numPr>
        <w:tabs>
          <w:tab w:val="clear" w:pos="1440"/>
          <w:tab w:val="num" w:pos="851"/>
        </w:tabs>
        <w:ind w:left="851" w:hanging="284"/>
        <w:jc w:val="left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>Einen Nachweis der Meldung des Verbrauchs von Blutprodukten (und Plasmaproteinen zur Behandlung von Hämostasestörungen) gemäß § 21 TFG an das Paul-Ehrlich-Institut für das vorangegangene Kalenderjahr.</w:t>
      </w:r>
    </w:p>
    <w:p w:rsidR="007362AE" w:rsidRPr="00E75737" w:rsidRDefault="007362AE">
      <w:pPr>
        <w:jc w:val="both"/>
        <w:rPr>
          <w:rFonts w:ascii="TitilliumText Regular" w:hAnsi="TitilliumText Regular" w:cs="Arial"/>
          <w:sz w:val="22"/>
          <w:szCs w:val="22"/>
        </w:rPr>
      </w:pPr>
    </w:p>
    <w:p w:rsidR="007362AE" w:rsidRPr="00E75737" w:rsidRDefault="007362AE" w:rsidP="00BE5457">
      <w:pPr>
        <w:autoSpaceDE w:val="0"/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 xml:space="preserve">Aus Gründen einer möglichst einfachen Regelung wurden bei der vorliegenden Muster-Arbeitsanweisung nicht alle Gestaltungsmöglichkeiten der </w:t>
      </w:r>
      <w:r w:rsidRPr="00E75737">
        <w:rPr>
          <w:rFonts w:ascii="TitilliumText Regular" w:hAnsi="TitilliumText Regular"/>
          <w:i/>
          <w:iCs/>
          <w:sz w:val="22"/>
          <w:szCs w:val="22"/>
        </w:rPr>
        <w:t>Richtlinien zur Hämotherapie</w:t>
      </w:r>
      <w:r w:rsidRPr="00E75737">
        <w:rPr>
          <w:rFonts w:ascii="TitilliumText Regular" w:hAnsi="TitilliumText Regular"/>
          <w:sz w:val="22"/>
          <w:szCs w:val="22"/>
          <w:vertAlign w:val="superscript"/>
        </w:rPr>
        <w:t>2</w:t>
      </w:r>
      <w:r w:rsidRPr="00E75737">
        <w:rPr>
          <w:rFonts w:ascii="TitilliumText Regular" w:hAnsi="TitilliumText Regular"/>
          <w:sz w:val="22"/>
          <w:szCs w:val="22"/>
        </w:rPr>
        <w:t xml:space="preserve"> berücksic</w:t>
      </w:r>
      <w:r w:rsidRPr="00E75737">
        <w:rPr>
          <w:rFonts w:ascii="TitilliumText Regular" w:hAnsi="TitilliumText Regular"/>
          <w:sz w:val="22"/>
          <w:szCs w:val="22"/>
        </w:rPr>
        <w:t>h</w:t>
      </w:r>
      <w:r w:rsidRPr="00E75737">
        <w:rPr>
          <w:rFonts w:ascii="TitilliumText Regular" w:hAnsi="TitilliumText Regular"/>
          <w:sz w:val="22"/>
          <w:szCs w:val="22"/>
        </w:rPr>
        <w:t xml:space="preserve">tigt. (So wird z. B. nicht auf die Möglichkeit einer AB0-kompatiblen Transfusion von </w:t>
      </w:r>
      <w:proofErr w:type="spellStart"/>
      <w:r w:rsidRPr="00E75737">
        <w:rPr>
          <w:rFonts w:ascii="TitilliumText Regular" w:hAnsi="TitilliumText Regular"/>
          <w:sz w:val="22"/>
          <w:szCs w:val="22"/>
        </w:rPr>
        <w:t>Erythrozytenkonzentraten</w:t>
      </w:r>
      <w:proofErr w:type="spellEnd"/>
      <w:r w:rsidRPr="00E75737">
        <w:rPr>
          <w:rFonts w:ascii="TitilliumText Regular" w:hAnsi="TitilliumText Regular"/>
          <w:sz w:val="22"/>
          <w:szCs w:val="22"/>
        </w:rPr>
        <w:t xml:space="preserve"> eingega</w:t>
      </w:r>
      <w:r w:rsidRPr="00E75737">
        <w:rPr>
          <w:rFonts w:ascii="TitilliumText Regular" w:hAnsi="TitilliumText Regular"/>
          <w:sz w:val="22"/>
          <w:szCs w:val="22"/>
        </w:rPr>
        <w:t>n</w:t>
      </w:r>
      <w:r w:rsidRPr="00E75737">
        <w:rPr>
          <w:rFonts w:ascii="TitilliumText Regular" w:hAnsi="TitilliumText Regular"/>
          <w:sz w:val="22"/>
          <w:szCs w:val="22"/>
        </w:rPr>
        <w:t xml:space="preserve">gen.) </w:t>
      </w: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pStyle w:val="Textkrper2"/>
        <w:rPr>
          <w:rFonts w:ascii="TitilliumText Regular" w:hAnsi="TitilliumText Regular"/>
          <w:b w:val="0"/>
          <w:bCs w:val="0"/>
          <w:sz w:val="22"/>
          <w:szCs w:val="22"/>
        </w:rPr>
      </w:pPr>
      <w:r w:rsidRPr="00E75737">
        <w:rPr>
          <w:rFonts w:ascii="TitilliumText Regular" w:hAnsi="TitilliumText Regular"/>
          <w:b w:val="0"/>
          <w:bCs w:val="0"/>
          <w:sz w:val="22"/>
          <w:szCs w:val="22"/>
        </w:rPr>
        <w:t>Das vorliegende Muster soll als Vorlage zur Erarbeitung einer Arbeitsanweisung zur Transfus</w:t>
      </w:r>
      <w:r w:rsidRPr="00E75737">
        <w:rPr>
          <w:rFonts w:ascii="TitilliumText Regular" w:hAnsi="TitilliumText Regular"/>
          <w:b w:val="0"/>
          <w:bCs w:val="0"/>
          <w:sz w:val="22"/>
          <w:szCs w:val="22"/>
        </w:rPr>
        <w:t>i</w:t>
      </w:r>
      <w:r w:rsidRPr="00E75737">
        <w:rPr>
          <w:rFonts w:ascii="TitilliumText Regular" w:hAnsi="TitilliumText Regular"/>
          <w:b w:val="0"/>
          <w:bCs w:val="0"/>
          <w:sz w:val="22"/>
          <w:szCs w:val="22"/>
        </w:rPr>
        <w:t xml:space="preserve">on eines </w:t>
      </w:r>
      <w:proofErr w:type="spellStart"/>
      <w:r w:rsidRPr="00E75737">
        <w:rPr>
          <w:rFonts w:ascii="TitilliumText Regular" w:hAnsi="TitilliumText Regular"/>
          <w:b w:val="0"/>
          <w:bCs w:val="0"/>
          <w:sz w:val="22"/>
          <w:szCs w:val="22"/>
        </w:rPr>
        <w:t>Erythrozytenkonzentrats</w:t>
      </w:r>
      <w:proofErr w:type="spellEnd"/>
      <w:r w:rsidRPr="00E75737">
        <w:rPr>
          <w:rFonts w:ascii="TitilliumText Regular" w:hAnsi="TitilliumText Regular"/>
          <w:b w:val="0"/>
          <w:bCs w:val="0"/>
          <w:sz w:val="22"/>
          <w:szCs w:val="22"/>
        </w:rPr>
        <w:t xml:space="preserve"> zur Anwendung kommen und ist an die Besonderheiten der j</w:t>
      </w:r>
      <w:r w:rsidRPr="00E75737">
        <w:rPr>
          <w:rFonts w:ascii="TitilliumText Regular" w:hAnsi="TitilliumText Regular"/>
          <w:b w:val="0"/>
          <w:bCs w:val="0"/>
          <w:sz w:val="22"/>
          <w:szCs w:val="22"/>
        </w:rPr>
        <w:t>e</w:t>
      </w:r>
      <w:r w:rsidRPr="00E75737">
        <w:rPr>
          <w:rFonts w:ascii="TitilliumText Regular" w:hAnsi="TitilliumText Regular"/>
          <w:b w:val="0"/>
          <w:bCs w:val="0"/>
          <w:sz w:val="22"/>
          <w:szCs w:val="22"/>
        </w:rPr>
        <w:t>weiligen Einrichtung anzupassen.</w:t>
      </w:r>
    </w:p>
    <w:p w:rsidR="007362AE" w:rsidRPr="00E75737" w:rsidRDefault="007362AE">
      <w:pPr>
        <w:pStyle w:val="Textkrper2"/>
        <w:rPr>
          <w:rFonts w:ascii="TitilliumText Regular" w:hAnsi="TitilliumText Regular"/>
          <w:b w:val="0"/>
          <w:bCs w:val="0"/>
          <w:sz w:val="22"/>
          <w:szCs w:val="22"/>
        </w:rPr>
      </w:pPr>
      <w:r w:rsidRPr="00E75737">
        <w:rPr>
          <w:rFonts w:ascii="TitilliumText Regular" w:hAnsi="TitilliumText Regular"/>
          <w:b w:val="0"/>
          <w:bCs w:val="0"/>
          <w:sz w:val="22"/>
          <w:szCs w:val="22"/>
        </w:rPr>
        <w:t xml:space="preserve">Diese, </w:t>
      </w:r>
      <w:r w:rsidRPr="000A79CD">
        <w:rPr>
          <w:rFonts w:ascii="TitilliumText Bold" w:hAnsi="TitilliumText Bold"/>
          <w:b w:val="0"/>
          <w:sz w:val="22"/>
          <w:szCs w:val="22"/>
        </w:rPr>
        <w:t>an die Einrichtung angepasste</w:t>
      </w:r>
      <w:r w:rsidRPr="00E75737">
        <w:rPr>
          <w:rFonts w:ascii="TitilliumText Regular" w:hAnsi="TitilliumText Regular"/>
          <w:b w:val="0"/>
          <w:bCs w:val="0"/>
          <w:sz w:val="22"/>
          <w:szCs w:val="22"/>
        </w:rPr>
        <w:t xml:space="preserve"> und </w:t>
      </w:r>
      <w:r w:rsidRPr="000A79CD">
        <w:rPr>
          <w:rFonts w:ascii="TitilliumText Bold" w:hAnsi="TitilliumText Bold"/>
          <w:b w:val="0"/>
          <w:sz w:val="22"/>
          <w:szCs w:val="22"/>
        </w:rPr>
        <w:t>unterschriebene</w:t>
      </w:r>
      <w:r w:rsidRPr="00E75737">
        <w:rPr>
          <w:rFonts w:ascii="TitilliumText Regular" w:hAnsi="TitilliumText Regular"/>
          <w:b w:val="0"/>
          <w:bCs w:val="0"/>
          <w:sz w:val="22"/>
          <w:szCs w:val="22"/>
        </w:rPr>
        <w:t xml:space="preserve"> Arbeitsanweisung (Seiten 3 – 7) senden Sie bitte </w:t>
      </w:r>
      <w:r w:rsidRPr="000A79CD">
        <w:rPr>
          <w:rFonts w:ascii="TitilliumText Bold" w:hAnsi="TitilliumText Bold"/>
          <w:b w:val="0"/>
          <w:sz w:val="22"/>
          <w:szCs w:val="22"/>
        </w:rPr>
        <w:t>jährlich bis zum 1. März</w:t>
      </w:r>
      <w:r w:rsidRPr="00E75737">
        <w:rPr>
          <w:rFonts w:ascii="TitilliumText Regular" w:hAnsi="TitilliumText Regular"/>
          <w:b w:val="0"/>
          <w:bCs w:val="0"/>
          <w:sz w:val="22"/>
          <w:szCs w:val="22"/>
        </w:rPr>
        <w:t xml:space="preserve"> und </w:t>
      </w:r>
      <w:r w:rsidRPr="000A79CD">
        <w:rPr>
          <w:rFonts w:ascii="TitilliumText Bold" w:hAnsi="TitilliumText Bold"/>
          <w:b w:val="0"/>
          <w:sz w:val="22"/>
          <w:szCs w:val="22"/>
        </w:rPr>
        <w:t>zusammen mit den Unterlagen nach Punkt a) und c)</w:t>
      </w:r>
      <w:r w:rsidRPr="00E75737">
        <w:rPr>
          <w:rFonts w:ascii="TitilliumText Regular" w:hAnsi="TitilliumText Regular"/>
          <w:b w:val="0"/>
          <w:bCs w:val="0"/>
          <w:sz w:val="22"/>
          <w:szCs w:val="22"/>
        </w:rPr>
        <w:t xml:space="preserve"> an die    </w:t>
      </w:r>
    </w:p>
    <w:p w:rsidR="007362AE" w:rsidRPr="00E75737" w:rsidRDefault="007362AE">
      <w:pPr>
        <w:pStyle w:val="Textkrper2"/>
        <w:jc w:val="left"/>
        <w:rPr>
          <w:rFonts w:ascii="TitilliumText Regular" w:hAnsi="TitilliumText Regular"/>
          <w:b w:val="0"/>
          <w:bCs w:val="0"/>
          <w:sz w:val="22"/>
          <w:szCs w:val="22"/>
        </w:rPr>
      </w:pPr>
    </w:p>
    <w:p w:rsidR="007362AE" w:rsidRPr="000A79CD" w:rsidRDefault="00794DED">
      <w:pPr>
        <w:pStyle w:val="Textkrper2"/>
        <w:ind w:left="1416"/>
        <w:jc w:val="left"/>
        <w:rPr>
          <w:rFonts w:ascii="TitilliumText Bold" w:hAnsi="TitilliumText Bold"/>
          <w:b w:val="0"/>
          <w:sz w:val="22"/>
          <w:szCs w:val="22"/>
        </w:rPr>
      </w:pPr>
      <w:r w:rsidRPr="000A79CD">
        <w:rPr>
          <w:rFonts w:ascii="TitilliumText Bold" w:hAnsi="TitilliumText Bold"/>
          <w:b w:val="0"/>
          <w:sz w:val="22"/>
          <w:szCs w:val="22"/>
        </w:rPr>
        <w:t xml:space="preserve">Sächsische Landesärztekammer </w:t>
      </w:r>
    </w:p>
    <w:p w:rsidR="007362AE" w:rsidRPr="000A79CD" w:rsidRDefault="003D3A40">
      <w:pPr>
        <w:pStyle w:val="Textkrper2"/>
        <w:ind w:left="1416"/>
        <w:jc w:val="left"/>
        <w:rPr>
          <w:rFonts w:ascii="TitilliumText Bold" w:hAnsi="TitilliumText Bold"/>
          <w:b w:val="0"/>
          <w:sz w:val="22"/>
          <w:szCs w:val="22"/>
        </w:rPr>
      </w:pPr>
      <w:r w:rsidRPr="000A79CD">
        <w:rPr>
          <w:rFonts w:ascii="TitilliumText Bold" w:hAnsi="TitilliumText Bold"/>
          <w:b w:val="0"/>
          <w:sz w:val="22"/>
          <w:szCs w:val="22"/>
        </w:rPr>
        <w:t xml:space="preserve">Referat </w:t>
      </w:r>
      <w:r w:rsidR="007362AE" w:rsidRPr="000A79CD">
        <w:rPr>
          <w:rFonts w:ascii="TitilliumText Bold" w:hAnsi="TitilliumText Bold"/>
          <w:b w:val="0"/>
          <w:sz w:val="22"/>
          <w:szCs w:val="22"/>
        </w:rPr>
        <w:t>Qualitätssicherung</w:t>
      </w:r>
    </w:p>
    <w:p w:rsidR="00794DED" w:rsidRPr="000A79CD" w:rsidRDefault="00794DED">
      <w:pPr>
        <w:pStyle w:val="Textkrper2"/>
        <w:ind w:left="1416"/>
        <w:jc w:val="left"/>
        <w:rPr>
          <w:rFonts w:ascii="TitilliumText Bold" w:hAnsi="TitilliumText Bold"/>
          <w:b w:val="0"/>
          <w:sz w:val="22"/>
          <w:szCs w:val="22"/>
        </w:rPr>
      </w:pPr>
      <w:r w:rsidRPr="000A79CD">
        <w:rPr>
          <w:rFonts w:ascii="TitilliumText Bold" w:hAnsi="TitilliumText Bold"/>
          <w:b w:val="0"/>
          <w:sz w:val="22"/>
          <w:szCs w:val="22"/>
        </w:rPr>
        <w:t xml:space="preserve">Frau </w:t>
      </w:r>
      <w:r w:rsidR="006F6002">
        <w:rPr>
          <w:rFonts w:ascii="TitilliumText Bold" w:hAnsi="TitilliumText Bold"/>
          <w:b w:val="0"/>
          <w:sz w:val="22"/>
          <w:szCs w:val="22"/>
        </w:rPr>
        <w:t>Kerstin Rändler</w:t>
      </w:r>
    </w:p>
    <w:p w:rsidR="00794DED" w:rsidRPr="000A79CD" w:rsidRDefault="00794DED">
      <w:pPr>
        <w:pStyle w:val="Textkrper2"/>
        <w:ind w:left="1416"/>
        <w:jc w:val="left"/>
        <w:rPr>
          <w:rFonts w:ascii="TitilliumText Bold" w:hAnsi="TitilliumText Bold"/>
          <w:b w:val="0"/>
          <w:sz w:val="22"/>
          <w:szCs w:val="22"/>
        </w:rPr>
      </w:pPr>
      <w:r w:rsidRPr="000A79CD">
        <w:rPr>
          <w:rFonts w:ascii="TitilliumText Bold" w:hAnsi="TitilliumText Bold"/>
          <w:b w:val="0"/>
          <w:sz w:val="22"/>
          <w:szCs w:val="22"/>
        </w:rPr>
        <w:t>PF 10 04 65</w:t>
      </w:r>
    </w:p>
    <w:p w:rsidR="007362AE" w:rsidRPr="000A79CD" w:rsidRDefault="00794DED">
      <w:pPr>
        <w:pStyle w:val="Textkrper2"/>
        <w:ind w:left="1416"/>
        <w:jc w:val="left"/>
        <w:rPr>
          <w:rFonts w:ascii="TitilliumText Bold" w:hAnsi="TitilliumText Bold"/>
          <w:b w:val="0"/>
          <w:sz w:val="22"/>
          <w:szCs w:val="22"/>
        </w:rPr>
      </w:pPr>
      <w:r w:rsidRPr="000A79CD">
        <w:rPr>
          <w:rFonts w:ascii="TitilliumText Bold" w:hAnsi="TitilliumText Bold"/>
          <w:b w:val="0"/>
          <w:sz w:val="22"/>
          <w:szCs w:val="22"/>
        </w:rPr>
        <w:t>01074 Dresden</w:t>
      </w:r>
      <w:r w:rsidR="007362AE" w:rsidRPr="000A79CD">
        <w:rPr>
          <w:rFonts w:ascii="TitilliumText Bold" w:hAnsi="TitilliumText Bold"/>
          <w:b w:val="0"/>
          <w:sz w:val="22"/>
          <w:szCs w:val="22"/>
        </w:rPr>
        <w:t>.</w:t>
      </w:r>
    </w:p>
    <w:p w:rsidR="007362AE" w:rsidRPr="000A79CD" w:rsidRDefault="007362AE">
      <w:pPr>
        <w:pStyle w:val="Textkrper2"/>
        <w:jc w:val="left"/>
        <w:rPr>
          <w:rFonts w:ascii="TitilliumText Regular" w:hAnsi="TitilliumText Regular"/>
          <w:b w:val="0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pStyle w:val="Textkrper2"/>
        <w:rPr>
          <w:rFonts w:ascii="TitilliumText Regular" w:hAnsi="TitilliumText Regular"/>
          <w:b w:val="0"/>
          <w:bCs w:val="0"/>
          <w:i/>
          <w:iCs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362AE" w:rsidRPr="00E75737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9210" w:type="dxa"/>
          </w:tcPr>
          <w:p w:rsidR="007362AE" w:rsidRPr="00E75737" w:rsidRDefault="007362AE">
            <w:pPr>
              <w:jc w:val="both"/>
              <w:rPr>
                <w:rFonts w:ascii="TitilliumText Regular" w:hAnsi="TitilliumText Regular"/>
                <w:i/>
                <w:iCs/>
                <w:sz w:val="22"/>
                <w:szCs w:val="22"/>
              </w:rPr>
            </w:pPr>
            <w:r w:rsidRPr="00E75737">
              <w:rPr>
                <w:rFonts w:ascii="TitilliumText Regular" w:hAnsi="TitilliumText Regular"/>
                <w:i/>
                <w:iCs/>
                <w:sz w:val="22"/>
                <w:szCs w:val="22"/>
              </w:rPr>
              <w:lastRenderedPageBreak/>
              <w:t>[Praxis/Einrichtung]</w:t>
            </w:r>
          </w:p>
        </w:tc>
      </w:tr>
    </w:tbl>
    <w:p w:rsidR="007362AE" w:rsidRPr="00E75737" w:rsidRDefault="007362AE">
      <w:pPr>
        <w:pStyle w:val="berschrift1"/>
        <w:jc w:val="center"/>
        <w:rPr>
          <w:rFonts w:ascii="TitilliumText Regular" w:hAnsi="TitilliumText Regular"/>
          <w:sz w:val="22"/>
          <w:szCs w:val="22"/>
        </w:rPr>
      </w:pPr>
    </w:p>
    <w:p w:rsidR="007362AE" w:rsidRPr="000A79CD" w:rsidRDefault="007362AE" w:rsidP="004B1C80">
      <w:pPr>
        <w:jc w:val="both"/>
        <w:rPr>
          <w:rFonts w:ascii="TitilliumText Bold" w:hAnsi="TitilliumText Bold" w:cs="Arial"/>
          <w:bCs/>
          <w:sz w:val="22"/>
          <w:szCs w:val="22"/>
        </w:rPr>
      </w:pPr>
      <w:r w:rsidRPr="000A79CD">
        <w:rPr>
          <w:rFonts w:ascii="TitilliumText Bold" w:hAnsi="TitilliumText Bold" w:cs="Arial"/>
          <w:bCs/>
          <w:sz w:val="22"/>
          <w:szCs w:val="22"/>
        </w:rPr>
        <w:t xml:space="preserve">Arbeitsanweisung zur Transfusion von </w:t>
      </w:r>
      <w:proofErr w:type="spellStart"/>
      <w:r w:rsidRPr="000A79CD">
        <w:rPr>
          <w:rFonts w:ascii="TitilliumText Bold" w:hAnsi="TitilliumText Bold" w:cs="Arial"/>
          <w:bCs/>
          <w:sz w:val="22"/>
          <w:szCs w:val="22"/>
        </w:rPr>
        <w:t>Erythroz</w:t>
      </w:r>
      <w:r w:rsidRPr="000A79CD">
        <w:rPr>
          <w:rFonts w:ascii="TitilliumText Bold" w:hAnsi="TitilliumText Bold" w:cs="Arial"/>
          <w:bCs/>
          <w:sz w:val="22"/>
          <w:szCs w:val="22"/>
        </w:rPr>
        <w:t>y</w:t>
      </w:r>
      <w:r w:rsidRPr="000A79CD">
        <w:rPr>
          <w:rFonts w:ascii="TitilliumText Bold" w:hAnsi="TitilliumText Bold" w:cs="Arial"/>
          <w:bCs/>
          <w:sz w:val="22"/>
          <w:szCs w:val="22"/>
        </w:rPr>
        <w:t>tenkonzentraten</w:t>
      </w:r>
      <w:proofErr w:type="spellEnd"/>
      <w:r w:rsidRPr="000A79CD">
        <w:rPr>
          <w:rFonts w:ascii="TitilliumText Bold" w:hAnsi="TitilliumText Bold" w:cs="Arial"/>
          <w:bCs/>
          <w:sz w:val="22"/>
          <w:szCs w:val="22"/>
        </w:rPr>
        <w:t xml:space="preserve"> (EK)</w:t>
      </w:r>
      <w:r w:rsidR="004B1C80" w:rsidRPr="000A79CD">
        <w:rPr>
          <w:rFonts w:ascii="TitilliumText Bold" w:hAnsi="TitilliumText Bold" w:cs="Arial"/>
          <w:bCs/>
          <w:sz w:val="22"/>
          <w:szCs w:val="22"/>
        </w:rPr>
        <w:t xml:space="preserve"> </w:t>
      </w:r>
      <w:r w:rsidRPr="000A79CD">
        <w:rPr>
          <w:rFonts w:ascii="TitilliumText Bold" w:hAnsi="TitilliumText Bold" w:cs="Arial"/>
          <w:bCs/>
          <w:sz w:val="22"/>
          <w:szCs w:val="22"/>
        </w:rPr>
        <w:t>unter den besonderen Bedin</w:t>
      </w:r>
      <w:r w:rsidR="00E2638F">
        <w:rPr>
          <w:rFonts w:ascii="TitilliumText Bold" w:hAnsi="TitilliumText Bold" w:cs="Arial"/>
          <w:bCs/>
          <w:sz w:val="22"/>
          <w:szCs w:val="22"/>
        </w:rPr>
        <w:t>gungen des Abschnitts 1.6.2.1</w:t>
      </w:r>
    </w:p>
    <w:p w:rsidR="007362AE" w:rsidRPr="000A79CD" w:rsidRDefault="007362AE" w:rsidP="004B1C80">
      <w:pPr>
        <w:jc w:val="both"/>
        <w:rPr>
          <w:rFonts w:ascii="TitilliumText Bold" w:hAnsi="TitilliumText Bold" w:cs="Arial"/>
          <w:bCs/>
          <w:sz w:val="22"/>
          <w:szCs w:val="22"/>
        </w:rPr>
      </w:pPr>
      <w:r w:rsidRPr="000A79CD">
        <w:rPr>
          <w:rFonts w:ascii="TitilliumText Bold" w:hAnsi="TitilliumText Bold" w:cs="Arial"/>
          <w:bCs/>
          <w:sz w:val="22"/>
          <w:szCs w:val="22"/>
        </w:rPr>
        <w:t>(„Transfusion von EK - maximal 50 pro Jahr - ausschließlich durch den ärztl</w:t>
      </w:r>
      <w:r w:rsidRPr="000A79CD">
        <w:rPr>
          <w:rFonts w:ascii="TitilliumText Bold" w:hAnsi="TitilliumText Bold" w:cs="Arial"/>
          <w:bCs/>
          <w:sz w:val="22"/>
          <w:szCs w:val="22"/>
        </w:rPr>
        <w:t>i</w:t>
      </w:r>
      <w:r w:rsidRPr="000A79CD">
        <w:rPr>
          <w:rFonts w:ascii="TitilliumText Bold" w:hAnsi="TitilliumText Bold" w:cs="Arial"/>
          <w:bCs/>
          <w:sz w:val="22"/>
          <w:szCs w:val="22"/>
        </w:rPr>
        <w:t xml:space="preserve">chen Leiter der Einrichtung“) der </w:t>
      </w:r>
      <w:r w:rsidRPr="000A79CD">
        <w:rPr>
          <w:rFonts w:ascii="TitilliumText Bold" w:hAnsi="TitilliumText Bold" w:cs="Arial"/>
          <w:bCs/>
          <w:i/>
          <w:iCs/>
          <w:sz w:val="22"/>
          <w:szCs w:val="22"/>
        </w:rPr>
        <w:t>Richtlinien zur Gewinnung von Blut und Blu</w:t>
      </w:r>
      <w:r w:rsidRPr="000A79CD">
        <w:rPr>
          <w:rFonts w:ascii="TitilliumText Bold" w:hAnsi="TitilliumText Bold" w:cs="Arial"/>
          <w:bCs/>
          <w:i/>
          <w:iCs/>
          <w:sz w:val="22"/>
          <w:szCs w:val="22"/>
        </w:rPr>
        <w:t>t</w:t>
      </w:r>
      <w:r w:rsidRPr="000A79CD">
        <w:rPr>
          <w:rFonts w:ascii="TitilliumText Bold" w:hAnsi="TitilliumText Bold" w:cs="Arial"/>
          <w:bCs/>
          <w:i/>
          <w:iCs/>
          <w:sz w:val="22"/>
          <w:szCs w:val="22"/>
        </w:rPr>
        <w:t>bestandteilen und zur Anwendung von Blutprodukten (Hämother</w:t>
      </w:r>
      <w:r w:rsidRPr="000A79CD">
        <w:rPr>
          <w:rFonts w:ascii="TitilliumText Bold" w:hAnsi="TitilliumText Bold" w:cs="Arial"/>
          <w:bCs/>
          <w:i/>
          <w:iCs/>
          <w:sz w:val="22"/>
          <w:szCs w:val="22"/>
        </w:rPr>
        <w:t>a</w:t>
      </w:r>
      <w:r w:rsidRPr="000A79CD">
        <w:rPr>
          <w:rFonts w:ascii="TitilliumText Bold" w:hAnsi="TitilliumText Bold" w:cs="Arial"/>
          <w:bCs/>
          <w:i/>
          <w:iCs/>
          <w:sz w:val="22"/>
          <w:szCs w:val="22"/>
        </w:rPr>
        <w:t>pie)</w:t>
      </w: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0A79CD" w:rsidRDefault="007362AE">
      <w:pPr>
        <w:numPr>
          <w:ilvl w:val="0"/>
          <w:numId w:val="1"/>
        </w:numPr>
        <w:tabs>
          <w:tab w:val="clear" w:pos="720"/>
          <w:tab w:val="num" w:pos="-360"/>
        </w:tabs>
        <w:jc w:val="both"/>
        <w:rPr>
          <w:rFonts w:ascii="TitilliumText Bold" w:hAnsi="TitilliumText Bold"/>
          <w:sz w:val="22"/>
          <w:szCs w:val="22"/>
        </w:rPr>
      </w:pPr>
      <w:r w:rsidRPr="000A79CD">
        <w:rPr>
          <w:rFonts w:ascii="TitilliumText Bold" w:hAnsi="TitilliumText Bold"/>
          <w:sz w:val="22"/>
          <w:szCs w:val="22"/>
        </w:rPr>
        <w:t xml:space="preserve">Die Transfusion von </w:t>
      </w:r>
      <w:proofErr w:type="spellStart"/>
      <w:r w:rsidRPr="000A79CD">
        <w:rPr>
          <w:rFonts w:ascii="TitilliumText Bold" w:hAnsi="TitilliumText Bold"/>
          <w:sz w:val="22"/>
          <w:szCs w:val="22"/>
        </w:rPr>
        <w:t>Erythrozytenkonzentraten</w:t>
      </w:r>
      <w:proofErr w:type="spellEnd"/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 xml:space="preserve">Erythrozytenkonzentrate werden AB0-gleich transfundiert. </w:t>
      </w: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ind w:firstLine="360"/>
        <w:jc w:val="both"/>
        <w:rPr>
          <w:rFonts w:ascii="TitilliumText Regular" w:hAnsi="TitilliumText Regular"/>
          <w:i/>
          <w:iCs/>
          <w:sz w:val="22"/>
          <w:szCs w:val="22"/>
        </w:rPr>
      </w:pPr>
      <w:r w:rsidRPr="00E75737">
        <w:rPr>
          <w:rFonts w:ascii="TitilliumText Regular" w:hAnsi="TitilliumText Regular"/>
          <w:i/>
          <w:iCs/>
          <w:sz w:val="22"/>
          <w:szCs w:val="22"/>
        </w:rPr>
        <w:t>[Ergänzung einrichtungsspezifischer Besonderheiten]</w:t>
      </w: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0A79CD" w:rsidRDefault="007362AE">
      <w:pPr>
        <w:numPr>
          <w:ilvl w:val="0"/>
          <w:numId w:val="1"/>
        </w:numPr>
        <w:tabs>
          <w:tab w:val="clear" w:pos="720"/>
          <w:tab w:val="num" w:pos="-360"/>
        </w:tabs>
        <w:jc w:val="both"/>
        <w:rPr>
          <w:rFonts w:ascii="TitilliumText Bold" w:hAnsi="TitilliumText Bold"/>
          <w:sz w:val="22"/>
          <w:szCs w:val="22"/>
        </w:rPr>
      </w:pPr>
      <w:r w:rsidRPr="000A79CD">
        <w:rPr>
          <w:rFonts w:ascii="TitilliumText Bold" w:hAnsi="TitilliumText Bold"/>
          <w:sz w:val="22"/>
          <w:szCs w:val="22"/>
        </w:rPr>
        <w:t>Dosierung</w:t>
      </w: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 xml:space="preserve">Die </w:t>
      </w:r>
      <w:r w:rsidR="00D01746">
        <w:rPr>
          <w:rFonts w:ascii="TitilliumText Regular" w:hAnsi="TitilliumText Regular"/>
          <w:i/>
          <w:sz w:val="22"/>
          <w:szCs w:val="22"/>
        </w:rPr>
        <w:t>Querschnitts-</w:t>
      </w:r>
      <w:r w:rsidRPr="00E75737">
        <w:rPr>
          <w:rFonts w:ascii="TitilliumText Regular" w:hAnsi="TitilliumText Regular"/>
          <w:i/>
          <w:iCs/>
          <w:sz w:val="22"/>
          <w:szCs w:val="22"/>
        </w:rPr>
        <w:t>Leitlinien zur Therapie mit Blutkomponenten und Plasmaderivaten</w:t>
      </w:r>
      <w:r w:rsidRPr="00E75737">
        <w:rPr>
          <w:rFonts w:ascii="TitilliumText Regular" w:hAnsi="TitilliumText Regular"/>
          <w:sz w:val="22"/>
          <w:szCs w:val="22"/>
        </w:rPr>
        <w:t xml:space="preserve"> sowie die Gebrauchs- und Fachinformation des Herstellers sind zu beachten. (Hinweis: Bei normalgewichtigen Erwachsenen ohne Hämolyse oder Blutung ist nach Übertragung eines </w:t>
      </w:r>
      <w:proofErr w:type="spellStart"/>
      <w:r w:rsidRPr="00E75737">
        <w:rPr>
          <w:rFonts w:ascii="TitilliumText Regular" w:hAnsi="TitilliumText Regular"/>
          <w:sz w:val="22"/>
          <w:szCs w:val="22"/>
        </w:rPr>
        <w:t>Erythrozytenkonzentrats</w:t>
      </w:r>
      <w:proofErr w:type="spellEnd"/>
      <w:r w:rsidRPr="00E75737">
        <w:rPr>
          <w:rFonts w:ascii="TitilliumText Regular" w:hAnsi="TitilliumText Regular"/>
          <w:sz w:val="22"/>
          <w:szCs w:val="22"/>
        </w:rPr>
        <w:t xml:space="preserve"> mit einem Hämo</w:t>
      </w:r>
      <w:r w:rsidRPr="00E75737">
        <w:rPr>
          <w:rFonts w:ascii="TitilliumText Regular" w:hAnsi="TitilliumText Regular"/>
          <w:sz w:val="22"/>
          <w:szCs w:val="22"/>
        </w:rPr>
        <w:t>g</w:t>
      </w:r>
      <w:r w:rsidRPr="00E75737">
        <w:rPr>
          <w:rFonts w:ascii="TitilliumText Regular" w:hAnsi="TitilliumText Regular"/>
          <w:sz w:val="22"/>
          <w:szCs w:val="22"/>
        </w:rPr>
        <w:t xml:space="preserve">lobinanstieg von ca. 1,0 </w:t>
      </w:r>
      <w:r w:rsidR="003D3A40" w:rsidRPr="00E75737">
        <w:rPr>
          <w:rFonts w:ascii="TitilliumText Regular" w:hAnsi="TitilliumText Regular"/>
          <w:sz w:val="22"/>
          <w:szCs w:val="22"/>
        </w:rPr>
        <w:t>-</w:t>
      </w:r>
      <w:r w:rsidRPr="00E75737">
        <w:rPr>
          <w:rFonts w:ascii="TitilliumText Regular" w:hAnsi="TitilliumText Regular"/>
          <w:sz w:val="22"/>
          <w:szCs w:val="22"/>
        </w:rPr>
        <w:t xml:space="preserve"> 1,5 g/dl zu rechnen.)</w:t>
      </w: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0A79CD" w:rsidRDefault="007362AE">
      <w:pPr>
        <w:numPr>
          <w:ilvl w:val="0"/>
          <w:numId w:val="1"/>
        </w:numPr>
        <w:tabs>
          <w:tab w:val="clear" w:pos="720"/>
          <w:tab w:val="num" w:pos="-360"/>
        </w:tabs>
        <w:jc w:val="both"/>
        <w:rPr>
          <w:rFonts w:ascii="TitilliumText Bold" w:hAnsi="TitilliumText Bold"/>
          <w:sz w:val="22"/>
          <w:szCs w:val="22"/>
        </w:rPr>
      </w:pPr>
      <w:r w:rsidRPr="000A79CD">
        <w:rPr>
          <w:rFonts w:ascii="TitilliumText Bold" w:hAnsi="TitilliumText Bold"/>
          <w:sz w:val="22"/>
          <w:szCs w:val="22"/>
        </w:rPr>
        <w:t>Verantwortlichkeiten</w:t>
      </w: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>Die Durchführung einer Bluttransfusion ist eine ärztliche Tätigkeit. Die Verantwortung liegt beim U</w:t>
      </w:r>
      <w:r w:rsidRPr="00E75737">
        <w:rPr>
          <w:rFonts w:ascii="TitilliumText Regular" w:hAnsi="TitilliumText Regular"/>
          <w:sz w:val="22"/>
          <w:szCs w:val="22"/>
        </w:rPr>
        <w:t>n</w:t>
      </w:r>
      <w:r w:rsidRPr="00E75737">
        <w:rPr>
          <w:rFonts w:ascii="TitilliumText Regular" w:hAnsi="TitilliumText Regular"/>
          <w:sz w:val="22"/>
          <w:szCs w:val="22"/>
        </w:rPr>
        <w:t>terzeichner.</w:t>
      </w: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0A79CD" w:rsidRDefault="007362AE">
      <w:pPr>
        <w:numPr>
          <w:ilvl w:val="0"/>
          <w:numId w:val="1"/>
        </w:numPr>
        <w:tabs>
          <w:tab w:val="clear" w:pos="720"/>
          <w:tab w:val="num" w:pos="-360"/>
        </w:tabs>
        <w:jc w:val="both"/>
        <w:rPr>
          <w:rFonts w:ascii="TitilliumText Bold" w:hAnsi="TitilliumText Bold"/>
          <w:sz w:val="22"/>
          <w:szCs w:val="22"/>
        </w:rPr>
      </w:pPr>
      <w:r w:rsidRPr="000A79CD">
        <w:rPr>
          <w:rFonts w:ascii="TitilliumText Bold" w:hAnsi="TitilliumText Bold"/>
          <w:sz w:val="22"/>
          <w:szCs w:val="22"/>
        </w:rPr>
        <w:t>Vorbereitende Kontrollen</w:t>
      </w: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>Der ärztliche Leiter der Einrichtung kontrolliert:</w:t>
      </w: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numPr>
          <w:ilvl w:val="0"/>
          <w:numId w:val="2"/>
        </w:numPr>
        <w:tabs>
          <w:tab w:val="clear" w:pos="720"/>
          <w:tab w:val="num" w:pos="-720"/>
        </w:tabs>
        <w:ind w:left="360"/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 xml:space="preserve">die korrekte Indikationsstellung (Falls die Indikationsstellung von den </w:t>
      </w:r>
      <w:r w:rsidR="00C51EB1">
        <w:rPr>
          <w:rFonts w:ascii="TitilliumText Regular" w:hAnsi="TitilliumText Regular"/>
          <w:i/>
          <w:sz w:val="22"/>
          <w:szCs w:val="22"/>
        </w:rPr>
        <w:t>Querschnitts-</w:t>
      </w:r>
      <w:r w:rsidRPr="00E75737">
        <w:rPr>
          <w:rFonts w:ascii="TitilliumText Regular" w:hAnsi="TitilliumText Regular"/>
          <w:i/>
          <w:iCs/>
          <w:sz w:val="22"/>
          <w:szCs w:val="22"/>
        </w:rPr>
        <w:t>Leitlinien zur Therapie mit Blutkomponenten und Plasmaderivaten</w:t>
      </w:r>
      <w:r w:rsidRPr="00E75737">
        <w:rPr>
          <w:rFonts w:ascii="TitilliumText Regular" w:hAnsi="TitilliumText Regular"/>
          <w:sz w:val="22"/>
          <w:szCs w:val="22"/>
        </w:rPr>
        <w:t xml:space="preserve"> abweicht, ist dies zu begründen), </w:t>
      </w:r>
    </w:p>
    <w:p w:rsidR="007362AE" w:rsidRPr="00E75737" w:rsidRDefault="007362AE">
      <w:pPr>
        <w:numPr>
          <w:ilvl w:val="0"/>
          <w:numId w:val="2"/>
        </w:numPr>
        <w:tabs>
          <w:tab w:val="clear" w:pos="720"/>
          <w:tab w:val="num" w:pos="-720"/>
        </w:tabs>
        <w:ind w:left="360"/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 xml:space="preserve">die Übereinstimmung des </w:t>
      </w:r>
      <w:proofErr w:type="spellStart"/>
      <w:r w:rsidRPr="00E75737">
        <w:rPr>
          <w:rFonts w:ascii="TitilliumText Regular" w:hAnsi="TitilliumText Regular"/>
          <w:sz w:val="22"/>
          <w:szCs w:val="22"/>
        </w:rPr>
        <w:t>Erythrozytenkonzentrats</w:t>
      </w:r>
      <w:proofErr w:type="spellEnd"/>
      <w:r w:rsidRPr="00E75737">
        <w:rPr>
          <w:rFonts w:ascii="TitilliumText Regular" w:hAnsi="TitilliumText Regular"/>
          <w:sz w:val="22"/>
          <w:szCs w:val="22"/>
        </w:rPr>
        <w:t xml:space="preserve"> mit den Angaben auf dem Begleitschein (Ve</w:t>
      </w:r>
      <w:r w:rsidRPr="00E75737">
        <w:rPr>
          <w:rFonts w:ascii="TitilliumText Regular" w:hAnsi="TitilliumText Regular"/>
          <w:sz w:val="22"/>
          <w:szCs w:val="22"/>
        </w:rPr>
        <w:t>r</w:t>
      </w:r>
      <w:r w:rsidRPr="00E75737">
        <w:rPr>
          <w:rFonts w:ascii="TitilliumText Regular" w:hAnsi="TitilliumText Regular"/>
          <w:sz w:val="22"/>
          <w:szCs w:val="22"/>
        </w:rPr>
        <w:t xml:space="preserve">gleich der </w:t>
      </w:r>
      <w:proofErr w:type="spellStart"/>
      <w:r w:rsidRPr="00E75737">
        <w:rPr>
          <w:rFonts w:ascii="TitilliumText Regular" w:hAnsi="TitilliumText Regular"/>
          <w:sz w:val="22"/>
          <w:szCs w:val="22"/>
        </w:rPr>
        <w:t>Präparatenummer</w:t>
      </w:r>
      <w:proofErr w:type="spellEnd"/>
      <w:r w:rsidRPr="00E75737">
        <w:rPr>
          <w:rFonts w:ascii="TitilliumText Regular" w:hAnsi="TitilliumText Regular"/>
          <w:sz w:val="22"/>
          <w:szCs w:val="22"/>
        </w:rPr>
        <w:t>),</w:t>
      </w:r>
    </w:p>
    <w:p w:rsidR="007362AE" w:rsidRPr="00E75737" w:rsidRDefault="007362AE">
      <w:pPr>
        <w:numPr>
          <w:ilvl w:val="0"/>
          <w:numId w:val="2"/>
        </w:numPr>
        <w:tabs>
          <w:tab w:val="clear" w:pos="720"/>
          <w:tab w:val="num" w:pos="-720"/>
        </w:tabs>
        <w:ind w:left="360"/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 xml:space="preserve">die korrekte Zuordnung von </w:t>
      </w:r>
      <w:proofErr w:type="spellStart"/>
      <w:r w:rsidRPr="00E75737">
        <w:rPr>
          <w:rFonts w:ascii="TitilliumText Regular" w:hAnsi="TitilliumText Regular"/>
          <w:sz w:val="22"/>
          <w:szCs w:val="22"/>
        </w:rPr>
        <w:t>Erythrozytenkonzentrat</w:t>
      </w:r>
      <w:proofErr w:type="spellEnd"/>
      <w:r w:rsidRPr="00E75737">
        <w:rPr>
          <w:rFonts w:ascii="TitilliumText Regular" w:hAnsi="TitilliumText Regular"/>
          <w:sz w:val="22"/>
          <w:szCs w:val="22"/>
        </w:rPr>
        <w:t xml:space="preserve"> und Begleitschein mit den serologischen E</w:t>
      </w:r>
      <w:r w:rsidRPr="00E75737">
        <w:rPr>
          <w:rFonts w:ascii="TitilliumText Regular" w:hAnsi="TitilliumText Regular"/>
          <w:sz w:val="22"/>
          <w:szCs w:val="22"/>
        </w:rPr>
        <w:t>r</w:t>
      </w:r>
      <w:r w:rsidRPr="00E75737">
        <w:rPr>
          <w:rFonts w:ascii="TitilliumText Regular" w:hAnsi="TitilliumText Regular"/>
          <w:sz w:val="22"/>
          <w:szCs w:val="22"/>
        </w:rPr>
        <w:t>gebnissen zum Patienten (Name, Vorname, Geburtsdatum),</w:t>
      </w:r>
    </w:p>
    <w:p w:rsidR="007362AE" w:rsidRPr="00E75737" w:rsidRDefault="007362AE">
      <w:pPr>
        <w:numPr>
          <w:ilvl w:val="0"/>
          <w:numId w:val="2"/>
        </w:numPr>
        <w:tabs>
          <w:tab w:val="clear" w:pos="720"/>
          <w:tab w:val="num" w:pos="-720"/>
        </w:tabs>
        <w:ind w:left="360"/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lastRenderedPageBreak/>
        <w:t xml:space="preserve">die Gültigkeit der serologischen Verträglichkeitsprobe (in der Regel 3 Tage, Ausnahmen siehe Abschnitte 4.2.5.7 und 4.2.5.9 der </w:t>
      </w:r>
      <w:r w:rsidRPr="00E75737">
        <w:rPr>
          <w:rFonts w:ascii="TitilliumText Regular" w:hAnsi="TitilliumText Regular"/>
          <w:i/>
          <w:iCs/>
          <w:sz w:val="22"/>
          <w:szCs w:val="22"/>
        </w:rPr>
        <w:t>Richtlinien zur Hämotherapie</w:t>
      </w:r>
      <w:r w:rsidRPr="00E75737">
        <w:rPr>
          <w:rFonts w:ascii="TitilliumText Regular" w:hAnsi="TitilliumText Regular"/>
          <w:sz w:val="22"/>
          <w:szCs w:val="22"/>
        </w:rPr>
        <w:t>),</w:t>
      </w:r>
    </w:p>
    <w:p w:rsidR="007362AE" w:rsidRPr="00E75737" w:rsidRDefault="007362AE" w:rsidP="00BE5457">
      <w:pPr>
        <w:numPr>
          <w:ilvl w:val="0"/>
          <w:numId w:val="2"/>
        </w:numPr>
        <w:tabs>
          <w:tab w:val="clear" w:pos="720"/>
          <w:tab w:val="num" w:pos="-720"/>
        </w:tabs>
        <w:autoSpaceDE w:val="0"/>
        <w:ind w:left="360"/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 xml:space="preserve">die Übereinstimmung der Blutgruppe (AB0 und Rhesusmerkmal D) des </w:t>
      </w:r>
      <w:proofErr w:type="spellStart"/>
      <w:r w:rsidRPr="00E75737">
        <w:rPr>
          <w:rFonts w:ascii="TitilliumText Regular" w:hAnsi="TitilliumText Regular"/>
          <w:sz w:val="22"/>
          <w:szCs w:val="22"/>
        </w:rPr>
        <w:t>Erythrozytenko</w:t>
      </w:r>
      <w:r w:rsidRPr="00E75737">
        <w:rPr>
          <w:rFonts w:ascii="TitilliumText Regular" w:hAnsi="TitilliumText Regular"/>
          <w:sz w:val="22"/>
          <w:szCs w:val="22"/>
        </w:rPr>
        <w:t>n</w:t>
      </w:r>
      <w:r w:rsidRPr="00E75737">
        <w:rPr>
          <w:rFonts w:ascii="TitilliumText Regular" w:hAnsi="TitilliumText Regular"/>
          <w:sz w:val="22"/>
          <w:szCs w:val="22"/>
        </w:rPr>
        <w:t>zentrats</w:t>
      </w:r>
      <w:proofErr w:type="spellEnd"/>
      <w:r w:rsidRPr="00E75737">
        <w:rPr>
          <w:rFonts w:ascii="TitilliumText Regular" w:hAnsi="TitilliumText Regular"/>
          <w:sz w:val="22"/>
          <w:szCs w:val="22"/>
        </w:rPr>
        <w:t xml:space="preserve"> mit der Blutgruppe des Patienten. Bei Abweichungen ist eine Rücksprache mit dem zuständigen immunhämatologischen Laboratorium</w:t>
      </w:r>
      <w:r w:rsidRPr="00224F45">
        <w:rPr>
          <w:rStyle w:val="Funotenzeichen"/>
          <w:rFonts w:ascii="TitilliumText Regular" w:hAnsi="TitilliumText Regular"/>
          <w:szCs w:val="16"/>
        </w:rPr>
        <w:footnoteReference w:id="3"/>
      </w:r>
      <w:r w:rsidRPr="00E75737">
        <w:rPr>
          <w:rFonts w:ascii="TitilliumText Regular" w:hAnsi="TitilliumText Regular"/>
          <w:sz w:val="22"/>
          <w:szCs w:val="22"/>
        </w:rPr>
        <w:t xml:space="preserve"> zwingend notwendig,</w:t>
      </w:r>
    </w:p>
    <w:p w:rsidR="007362AE" w:rsidRPr="00E75737" w:rsidRDefault="007362AE">
      <w:pPr>
        <w:numPr>
          <w:ilvl w:val="0"/>
          <w:numId w:val="2"/>
        </w:numPr>
        <w:tabs>
          <w:tab w:val="clear" w:pos="720"/>
          <w:tab w:val="num" w:pos="-360"/>
        </w:tabs>
        <w:ind w:left="360"/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 xml:space="preserve">das Verfallsdatum des </w:t>
      </w:r>
      <w:proofErr w:type="spellStart"/>
      <w:r w:rsidRPr="00E75737">
        <w:rPr>
          <w:rFonts w:ascii="TitilliumText Regular" w:hAnsi="TitilliumText Regular"/>
          <w:sz w:val="22"/>
          <w:szCs w:val="22"/>
        </w:rPr>
        <w:t>Erythrozytenkonzentrats</w:t>
      </w:r>
      <w:proofErr w:type="spellEnd"/>
      <w:r w:rsidRPr="00E75737">
        <w:rPr>
          <w:rFonts w:ascii="TitilliumText Regular" w:hAnsi="TitilliumText Regular"/>
          <w:sz w:val="22"/>
          <w:szCs w:val="22"/>
        </w:rPr>
        <w:t>,</w:t>
      </w:r>
    </w:p>
    <w:p w:rsidR="007362AE" w:rsidRPr="00E75737" w:rsidRDefault="007362AE">
      <w:pPr>
        <w:numPr>
          <w:ilvl w:val="0"/>
          <w:numId w:val="2"/>
        </w:numPr>
        <w:tabs>
          <w:tab w:val="clear" w:pos="720"/>
          <w:tab w:val="num" w:pos="-360"/>
        </w:tabs>
        <w:ind w:left="360"/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 xml:space="preserve">die Unversehrtheit des </w:t>
      </w:r>
      <w:proofErr w:type="spellStart"/>
      <w:r w:rsidRPr="00E75737">
        <w:rPr>
          <w:rFonts w:ascii="TitilliumText Regular" w:hAnsi="TitilliumText Regular"/>
          <w:sz w:val="22"/>
          <w:szCs w:val="22"/>
        </w:rPr>
        <w:t>Erythrozytenkonzentrats</w:t>
      </w:r>
      <w:proofErr w:type="spellEnd"/>
      <w:r w:rsidRPr="00E75737">
        <w:rPr>
          <w:rFonts w:ascii="TitilliumText Regular" w:hAnsi="TitilliumText Regular"/>
          <w:sz w:val="22"/>
          <w:szCs w:val="22"/>
        </w:rPr>
        <w:t xml:space="preserve"> bezüglich äußerer Beschädigung, Gerinnselbi</w:t>
      </w:r>
      <w:r w:rsidRPr="00E75737">
        <w:rPr>
          <w:rFonts w:ascii="TitilliumText Regular" w:hAnsi="TitilliumText Regular"/>
          <w:sz w:val="22"/>
          <w:szCs w:val="22"/>
        </w:rPr>
        <w:t>l</w:t>
      </w:r>
      <w:r w:rsidRPr="00E75737">
        <w:rPr>
          <w:rFonts w:ascii="TitilliumText Regular" w:hAnsi="TitilliumText Regular"/>
          <w:sz w:val="22"/>
          <w:szCs w:val="22"/>
        </w:rPr>
        <w:t xml:space="preserve">dung, </w:t>
      </w:r>
      <w:proofErr w:type="spellStart"/>
      <w:r w:rsidRPr="00E75737">
        <w:rPr>
          <w:rFonts w:ascii="TitilliumText Regular" w:hAnsi="TitilliumText Regular"/>
          <w:sz w:val="22"/>
          <w:szCs w:val="22"/>
        </w:rPr>
        <w:t>Hämolysezeichen</w:t>
      </w:r>
      <w:proofErr w:type="spellEnd"/>
      <w:r w:rsidRPr="00E75737">
        <w:rPr>
          <w:rFonts w:ascii="TitilliumText Regular" w:hAnsi="TitilliumText Regular"/>
          <w:sz w:val="22"/>
          <w:szCs w:val="22"/>
        </w:rPr>
        <w:t>, sonstige Abweichungen,</w:t>
      </w:r>
    </w:p>
    <w:p w:rsidR="007362AE" w:rsidRPr="00E75737" w:rsidRDefault="007362AE">
      <w:pPr>
        <w:numPr>
          <w:ilvl w:val="0"/>
          <w:numId w:val="2"/>
        </w:numPr>
        <w:tabs>
          <w:tab w:val="clear" w:pos="720"/>
          <w:tab w:val="num" w:pos="-360"/>
        </w:tabs>
        <w:ind w:left="360"/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>die schriftliche Dokumentation der Aufklärung und Einwilligung des Patienten über die Bluttransf</w:t>
      </w:r>
      <w:r w:rsidRPr="00E75737">
        <w:rPr>
          <w:rFonts w:ascii="TitilliumText Regular" w:hAnsi="TitilliumText Regular"/>
          <w:sz w:val="22"/>
          <w:szCs w:val="22"/>
        </w:rPr>
        <w:t>u</w:t>
      </w:r>
      <w:r w:rsidRPr="00E75737">
        <w:rPr>
          <w:rFonts w:ascii="TitilliumText Regular" w:hAnsi="TitilliumText Regular"/>
          <w:sz w:val="22"/>
          <w:szCs w:val="22"/>
        </w:rPr>
        <w:t>sion.</w:t>
      </w: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ind w:firstLine="360"/>
        <w:jc w:val="both"/>
        <w:rPr>
          <w:rFonts w:ascii="TitilliumText Regular" w:hAnsi="TitilliumText Regular"/>
          <w:i/>
          <w:iCs/>
          <w:sz w:val="22"/>
          <w:szCs w:val="22"/>
        </w:rPr>
      </w:pPr>
      <w:r w:rsidRPr="00E75737">
        <w:rPr>
          <w:rFonts w:ascii="TitilliumText Regular" w:hAnsi="TitilliumText Regular"/>
          <w:i/>
          <w:iCs/>
          <w:sz w:val="22"/>
          <w:szCs w:val="22"/>
        </w:rPr>
        <w:t>[Ergänzung einrichtungsspezifischer Besonderheiten]</w:t>
      </w: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1E1252" w:rsidRDefault="007362AE">
      <w:pPr>
        <w:numPr>
          <w:ilvl w:val="0"/>
          <w:numId w:val="1"/>
        </w:numPr>
        <w:tabs>
          <w:tab w:val="clear" w:pos="720"/>
          <w:tab w:val="num" w:pos="0"/>
        </w:tabs>
        <w:jc w:val="both"/>
        <w:rPr>
          <w:rFonts w:ascii="TitilliumText Bold" w:hAnsi="TitilliumText Bold"/>
          <w:sz w:val="22"/>
          <w:szCs w:val="22"/>
        </w:rPr>
      </w:pPr>
      <w:r w:rsidRPr="001E1252">
        <w:rPr>
          <w:rFonts w:ascii="TitilliumText Bold" w:hAnsi="TitilliumText Bold"/>
          <w:sz w:val="22"/>
          <w:szCs w:val="22"/>
        </w:rPr>
        <w:t>Technische Durchführung</w:t>
      </w: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>Ein entsprechend Medizinproduktegesetz (MPG) normiertes Standardtransfusionsbesteck mit einer Pore</w:t>
      </w:r>
      <w:r w:rsidRPr="00E75737">
        <w:rPr>
          <w:rFonts w:ascii="TitilliumText Regular" w:hAnsi="TitilliumText Regular"/>
          <w:sz w:val="22"/>
          <w:szCs w:val="22"/>
        </w:rPr>
        <w:t>n</w:t>
      </w:r>
      <w:r w:rsidRPr="00E75737">
        <w:rPr>
          <w:rFonts w:ascii="TitilliumText Regular" w:hAnsi="TitilliumText Regular"/>
          <w:sz w:val="22"/>
          <w:szCs w:val="22"/>
        </w:rPr>
        <w:t>größe von 170 –230 µm ist zu verwenden.</w:t>
      </w: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 xml:space="preserve">Im Regelfall ist von einer Erwärmung von </w:t>
      </w:r>
      <w:proofErr w:type="spellStart"/>
      <w:r w:rsidRPr="00E75737">
        <w:rPr>
          <w:rFonts w:ascii="TitilliumText Regular" w:hAnsi="TitilliumText Regular"/>
          <w:sz w:val="22"/>
          <w:szCs w:val="22"/>
        </w:rPr>
        <w:t>Erythrozytenkonzentraten</w:t>
      </w:r>
      <w:proofErr w:type="spellEnd"/>
      <w:r w:rsidRPr="00E75737">
        <w:rPr>
          <w:rFonts w:ascii="TitilliumText Regular" w:hAnsi="TitilliumText Regular"/>
          <w:sz w:val="22"/>
          <w:szCs w:val="22"/>
        </w:rPr>
        <w:t xml:space="preserve"> abzusehen, Erythrozytenko</w:t>
      </w:r>
      <w:r w:rsidRPr="00E75737">
        <w:rPr>
          <w:rFonts w:ascii="TitilliumText Regular" w:hAnsi="TitilliumText Regular"/>
          <w:sz w:val="22"/>
          <w:szCs w:val="22"/>
        </w:rPr>
        <w:t>n</w:t>
      </w:r>
      <w:r w:rsidRPr="00E75737">
        <w:rPr>
          <w:rFonts w:ascii="TitilliumText Regular" w:hAnsi="TitilliumText Regular"/>
          <w:sz w:val="22"/>
          <w:szCs w:val="22"/>
        </w:rPr>
        <w:t xml:space="preserve">zentrate werden bei Raumtemperatur transfundiert. Sollte ausnahmsweise eine Erwärmung des </w:t>
      </w:r>
      <w:proofErr w:type="spellStart"/>
      <w:r w:rsidRPr="00E75737">
        <w:rPr>
          <w:rFonts w:ascii="TitilliumText Regular" w:hAnsi="TitilliumText Regular"/>
          <w:sz w:val="22"/>
          <w:szCs w:val="22"/>
        </w:rPr>
        <w:t>E</w:t>
      </w:r>
      <w:r w:rsidRPr="00E75737">
        <w:rPr>
          <w:rFonts w:ascii="TitilliumText Regular" w:hAnsi="TitilliumText Regular"/>
          <w:sz w:val="22"/>
          <w:szCs w:val="22"/>
        </w:rPr>
        <w:t>rythrozytenkonzentrats</w:t>
      </w:r>
      <w:proofErr w:type="spellEnd"/>
      <w:r w:rsidRPr="00E75737">
        <w:rPr>
          <w:rFonts w:ascii="TitilliumText Regular" w:hAnsi="TitilliumText Regular"/>
          <w:sz w:val="22"/>
          <w:szCs w:val="22"/>
        </w:rPr>
        <w:t xml:space="preserve"> (max. + 42°C) auf dem Begleitschein empfohlen werden, darf ausschlie</w:t>
      </w:r>
      <w:r w:rsidRPr="00E75737">
        <w:rPr>
          <w:rFonts w:ascii="TitilliumText Regular" w:hAnsi="TitilliumText Regular"/>
          <w:sz w:val="22"/>
          <w:szCs w:val="22"/>
        </w:rPr>
        <w:t>ß</w:t>
      </w:r>
      <w:r w:rsidRPr="00E75737">
        <w:rPr>
          <w:rFonts w:ascii="TitilliumText Regular" w:hAnsi="TitilliumText Regular"/>
          <w:sz w:val="22"/>
          <w:szCs w:val="22"/>
        </w:rPr>
        <w:t>lich ein zertifiziertes Gerät benutzt werden.</w:t>
      </w:r>
    </w:p>
    <w:p w:rsidR="007362AE" w:rsidRPr="00E75737" w:rsidRDefault="007362AE">
      <w:pPr>
        <w:ind w:left="360" w:hanging="360"/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ind w:firstLine="360"/>
        <w:jc w:val="both"/>
        <w:rPr>
          <w:rFonts w:ascii="TitilliumText Regular" w:hAnsi="TitilliumText Regular"/>
          <w:i/>
          <w:iCs/>
          <w:sz w:val="22"/>
          <w:szCs w:val="22"/>
        </w:rPr>
      </w:pPr>
      <w:r w:rsidRPr="00E75737">
        <w:rPr>
          <w:rFonts w:ascii="TitilliumText Regular" w:hAnsi="TitilliumText Regular"/>
          <w:i/>
          <w:iCs/>
          <w:sz w:val="22"/>
          <w:szCs w:val="22"/>
        </w:rPr>
        <w:t>[Ergänzung einrichtungsspezifischer Besonderheiten]</w:t>
      </w:r>
    </w:p>
    <w:p w:rsidR="007362AE" w:rsidRPr="00E75737" w:rsidRDefault="007362AE">
      <w:pPr>
        <w:ind w:left="360" w:hanging="360"/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ind w:left="360" w:hanging="360"/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ind w:left="360" w:hanging="360"/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ind w:left="360" w:hanging="360"/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ind w:left="360" w:hanging="360"/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ind w:left="360" w:hanging="360"/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ind w:left="360" w:hanging="360"/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ind w:left="360" w:hanging="360"/>
        <w:jc w:val="both"/>
        <w:rPr>
          <w:rFonts w:ascii="TitilliumText Regular" w:hAnsi="TitilliumText Regular"/>
          <w:sz w:val="22"/>
          <w:szCs w:val="22"/>
        </w:rPr>
      </w:pPr>
    </w:p>
    <w:p w:rsidR="007362AE" w:rsidRPr="001E1252" w:rsidRDefault="007362AE">
      <w:pPr>
        <w:numPr>
          <w:ilvl w:val="0"/>
          <w:numId w:val="1"/>
        </w:numPr>
        <w:tabs>
          <w:tab w:val="clear" w:pos="720"/>
          <w:tab w:val="num" w:pos="0"/>
        </w:tabs>
        <w:jc w:val="both"/>
        <w:rPr>
          <w:rFonts w:ascii="TitilliumText Bold" w:hAnsi="TitilliumText Bold"/>
          <w:sz w:val="22"/>
          <w:szCs w:val="22"/>
        </w:rPr>
      </w:pPr>
      <w:proofErr w:type="spellStart"/>
      <w:r w:rsidRPr="001E1252">
        <w:rPr>
          <w:rFonts w:ascii="TitilliumText Bold" w:hAnsi="TitilliumText Bold"/>
          <w:sz w:val="22"/>
          <w:szCs w:val="22"/>
        </w:rPr>
        <w:t>Bedside</w:t>
      </w:r>
      <w:proofErr w:type="spellEnd"/>
      <w:r w:rsidRPr="001E1252">
        <w:rPr>
          <w:rFonts w:ascii="TitilliumText Bold" w:hAnsi="TitilliumText Bold"/>
          <w:sz w:val="22"/>
          <w:szCs w:val="22"/>
        </w:rPr>
        <w:t>-Test</w:t>
      </w:r>
    </w:p>
    <w:p w:rsidR="007362AE" w:rsidRPr="00E75737" w:rsidRDefault="007362AE">
      <w:pPr>
        <w:jc w:val="both"/>
        <w:rPr>
          <w:rFonts w:ascii="TitilliumText Regular" w:hAnsi="TitilliumText Regular"/>
          <w:b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 xml:space="preserve">Nach Durchführung der vorgegebenen Kontrollen führt der ärztliche Leiter der Einrichtung </w:t>
      </w:r>
      <w:r w:rsidRPr="001E1252">
        <w:rPr>
          <w:rFonts w:ascii="TitilliumText Bold" w:hAnsi="TitilliumText Bold"/>
          <w:sz w:val="22"/>
          <w:szCs w:val="22"/>
        </w:rPr>
        <w:t>am Patienten</w:t>
      </w:r>
      <w:r w:rsidRPr="00E75737">
        <w:rPr>
          <w:rFonts w:ascii="TitilliumText Regular" w:hAnsi="TitilliumText Regular"/>
          <w:sz w:val="22"/>
          <w:szCs w:val="22"/>
        </w:rPr>
        <w:t xml:space="preserve"> den </w:t>
      </w:r>
      <w:proofErr w:type="spellStart"/>
      <w:r w:rsidRPr="00E75737">
        <w:rPr>
          <w:rFonts w:ascii="TitilliumText Regular" w:hAnsi="TitilliumText Regular"/>
          <w:sz w:val="22"/>
          <w:szCs w:val="22"/>
        </w:rPr>
        <w:t>Be</w:t>
      </w:r>
      <w:r w:rsidRPr="00E75737">
        <w:rPr>
          <w:rFonts w:ascii="TitilliumText Regular" w:hAnsi="TitilliumText Regular"/>
          <w:sz w:val="22"/>
          <w:szCs w:val="22"/>
        </w:rPr>
        <w:t>d</w:t>
      </w:r>
      <w:r w:rsidRPr="00E75737">
        <w:rPr>
          <w:rFonts w:ascii="TitilliumText Regular" w:hAnsi="TitilliumText Regular"/>
          <w:sz w:val="22"/>
          <w:szCs w:val="22"/>
        </w:rPr>
        <w:t>side</w:t>
      </w:r>
      <w:proofErr w:type="spellEnd"/>
      <w:r w:rsidRPr="00E75737">
        <w:rPr>
          <w:rFonts w:ascii="TitilliumText Regular" w:hAnsi="TitilliumText Regular"/>
          <w:sz w:val="22"/>
          <w:szCs w:val="22"/>
        </w:rPr>
        <w:t xml:space="preserve">-Test selbst durch oder lässt ihn unter </w:t>
      </w:r>
      <w:r w:rsidRPr="001E1252">
        <w:rPr>
          <w:rFonts w:ascii="TitilliumText Bold" w:hAnsi="TitilliumText Bold"/>
          <w:sz w:val="22"/>
          <w:szCs w:val="22"/>
        </w:rPr>
        <w:t>seiner direkten Aufsicht</w:t>
      </w:r>
      <w:r w:rsidRPr="00E75737">
        <w:rPr>
          <w:rFonts w:ascii="TitilliumText Regular" w:hAnsi="TitilliumText Regular"/>
          <w:sz w:val="22"/>
          <w:szCs w:val="22"/>
        </w:rPr>
        <w:t xml:space="preserve"> durchführen. </w:t>
      </w: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 w:rsidP="00BE5457">
      <w:pPr>
        <w:autoSpaceDE w:val="0"/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 xml:space="preserve">Die Patientenblutgruppe muss im </w:t>
      </w:r>
      <w:proofErr w:type="spellStart"/>
      <w:r w:rsidRPr="00E75737">
        <w:rPr>
          <w:rFonts w:ascii="TitilliumText Regular" w:hAnsi="TitilliumText Regular"/>
          <w:sz w:val="22"/>
          <w:szCs w:val="22"/>
        </w:rPr>
        <w:t>Bedside</w:t>
      </w:r>
      <w:proofErr w:type="spellEnd"/>
      <w:r w:rsidRPr="00E75737">
        <w:rPr>
          <w:rFonts w:ascii="TitilliumText Regular" w:hAnsi="TitilliumText Regular"/>
          <w:sz w:val="22"/>
          <w:szCs w:val="22"/>
        </w:rPr>
        <w:t>-Test zweifelsfrei bestimmbar sein. Bei Zwe</w:t>
      </w:r>
      <w:r w:rsidRPr="00E75737">
        <w:rPr>
          <w:rFonts w:ascii="TitilliumText Regular" w:hAnsi="TitilliumText Regular"/>
          <w:sz w:val="22"/>
          <w:szCs w:val="22"/>
        </w:rPr>
        <w:t>i</w:t>
      </w:r>
      <w:r w:rsidRPr="00E75737">
        <w:rPr>
          <w:rFonts w:ascii="TitilliumText Regular" w:hAnsi="TitilliumText Regular"/>
          <w:sz w:val="22"/>
          <w:szCs w:val="22"/>
        </w:rPr>
        <w:t>feln/Diskrepanz ist vor Transfusion Rücksprache mit dem zuständigen immunhämatologischen Laboratorium</w:t>
      </w:r>
      <w:r w:rsidRPr="00E75737">
        <w:rPr>
          <w:rFonts w:ascii="TitilliumText Regular" w:hAnsi="TitilliumText Regular"/>
          <w:sz w:val="22"/>
          <w:szCs w:val="22"/>
          <w:vertAlign w:val="superscript"/>
        </w:rPr>
        <w:t>3</w:t>
      </w:r>
      <w:r w:rsidRPr="00E75737">
        <w:rPr>
          <w:rFonts w:ascii="TitilliumText Regular" w:hAnsi="TitilliumText Regular"/>
          <w:sz w:val="22"/>
          <w:szCs w:val="22"/>
        </w:rPr>
        <w:t xml:space="preserve"> zu ne</w:t>
      </w:r>
      <w:r w:rsidRPr="00E75737">
        <w:rPr>
          <w:rFonts w:ascii="TitilliumText Regular" w:hAnsi="TitilliumText Regular"/>
          <w:sz w:val="22"/>
          <w:szCs w:val="22"/>
        </w:rPr>
        <w:t>h</w:t>
      </w:r>
      <w:r w:rsidRPr="00E75737">
        <w:rPr>
          <w:rFonts w:ascii="TitilliumText Regular" w:hAnsi="TitilliumText Regular"/>
          <w:sz w:val="22"/>
          <w:szCs w:val="22"/>
        </w:rPr>
        <w:t>men.</w:t>
      </w: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1E1252" w:rsidRDefault="007362AE">
      <w:pPr>
        <w:pStyle w:val="Textkrper-Einzug2"/>
        <w:ind w:left="0"/>
        <w:jc w:val="both"/>
        <w:rPr>
          <w:rFonts w:ascii="TitilliumText Bold" w:hAnsi="TitilliumText Bold"/>
          <w:b w:val="0"/>
          <w:sz w:val="22"/>
          <w:szCs w:val="22"/>
        </w:rPr>
      </w:pPr>
      <w:r w:rsidRPr="001E1252">
        <w:rPr>
          <w:rFonts w:ascii="TitilliumText Bold" w:hAnsi="TitilliumText Bold"/>
          <w:b w:val="0"/>
          <w:sz w:val="22"/>
          <w:szCs w:val="22"/>
        </w:rPr>
        <w:t xml:space="preserve">Der </w:t>
      </w:r>
      <w:proofErr w:type="spellStart"/>
      <w:r w:rsidRPr="001E1252">
        <w:rPr>
          <w:rFonts w:ascii="TitilliumText Bold" w:hAnsi="TitilliumText Bold"/>
          <w:b w:val="0"/>
          <w:sz w:val="22"/>
          <w:szCs w:val="22"/>
        </w:rPr>
        <w:t>Bedside</w:t>
      </w:r>
      <w:proofErr w:type="spellEnd"/>
      <w:r w:rsidRPr="001E1252">
        <w:rPr>
          <w:rFonts w:ascii="TitilliumText Bold" w:hAnsi="TitilliumText Bold"/>
          <w:b w:val="0"/>
          <w:sz w:val="22"/>
          <w:szCs w:val="22"/>
        </w:rPr>
        <w:t xml:space="preserve">-Test ist der letzte Arbeitsschritt unmittelbar vor der Transfusion, durch den eine lebensbedrohliche AB0-inkompatible Transfusion verhindert werden kann. Deshalb ist der </w:t>
      </w:r>
      <w:proofErr w:type="spellStart"/>
      <w:r w:rsidRPr="001E1252">
        <w:rPr>
          <w:rFonts w:ascii="TitilliumText Bold" w:hAnsi="TitilliumText Bold"/>
          <w:b w:val="0"/>
          <w:sz w:val="22"/>
          <w:szCs w:val="22"/>
        </w:rPr>
        <w:t>Bedside</w:t>
      </w:r>
      <w:proofErr w:type="spellEnd"/>
      <w:r w:rsidRPr="001E1252">
        <w:rPr>
          <w:rFonts w:ascii="TitilliumText Bold" w:hAnsi="TitilliumText Bold"/>
          <w:b w:val="0"/>
          <w:sz w:val="22"/>
          <w:szCs w:val="22"/>
        </w:rPr>
        <w:t>-Test vor der Transfusion zwingend erforderlich.</w:t>
      </w: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 xml:space="preserve">Das Ergebnis des </w:t>
      </w:r>
      <w:proofErr w:type="spellStart"/>
      <w:r w:rsidRPr="00E75737">
        <w:rPr>
          <w:rFonts w:ascii="TitilliumText Regular" w:hAnsi="TitilliumText Regular"/>
          <w:sz w:val="22"/>
          <w:szCs w:val="22"/>
        </w:rPr>
        <w:t>Bedside</w:t>
      </w:r>
      <w:proofErr w:type="spellEnd"/>
      <w:r w:rsidRPr="00E75737">
        <w:rPr>
          <w:rFonts w:ascii="TitilliumText Regular" w:hAnsi="TitilliumText Regular"/>
          <w:sz w:val="22"/>
          <w:szCs w:val="22"/>
        </w:rPr>
        <w:t>-Tests wird auf dem Transfusionsprotokoll dokumentiert, die Karte kann nach Beendigung der Transfusion entsorgt werden.</w:t>
      </w: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ind w:firstLine="360"/>
        <w:jc w:val="both"/>
        <w:rPr>
          <w:rFonts w:ascii="TitilliumText Regular" w:hAnsi="TitilliumText Regular"/>
          <w:i/>
          <w:iCs/>
          <w:sz w:val="22"/>
          <w:szCs w:val="22"/>
        </w:rPr>
      </w:pPr>
      <w:r w:rsidRPr="00E75737">
        <w:rPr>
          <w:rFonts w:ascii="TitilliumText Regular" w:hAnsi="TitilliumText Regular"/>
          <w:i/>
          <w:iCs/>
          <w:sz w:val="22"/>
          <w:szCs w:val="22"/>
        </w:rPr>
        <w:t>[Ergänzung einrichtungsspezifischer Besonderheiten]</w:t>
      </w: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1B10A7" w:rsidRPr="00E75737" w:rsidRDefault="001B10A7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ind w:left="360"/>
        <w:jc w:val="both"/>
        <w:rPr>
          <w:rFonts w:ascii="TitilliumText Regular" w:hAnsi="TitilliumText Regular"/>
          <w:sz w:val="22"/>
          <w:szCs w:val="22"/>
        </w:rPr>
      </w:pPr>
    </w:p>
    <w:p w:rsidR="007362AE" w:rsidRPr="001E1252" w:rsidRDefault="007362AE">
      <w:pPr>
        <w:numPr>
          <w:ilvl w:val="0"/>
          <w:numId w:val="1"/>
        </w:numPr>
        <w:tabs>
          <w:tab w:val="clear" w:pos="720"/>
          <w:tab w:val="num" w:pos="0"/>
        </w:tabs>
        <w:jc w:val="both"/>
        <w:rPr>
          <w:rFonts w:ascii="TitilliumText Bold" w:hAnsi="TitilliumText Bold"/>
          <w:sz w:val="22"/>
          <w:szCs w:val="22"/>
        </w:rPr>
      </w:pPr>
      <w:r w:rsidRPr="001E1252">
        <w:rPr>
          <w:rFonts w:ascii="TitilliumText Bold" w:hAnsi="TitilliumText Bold"/>
          <w:sz w:val="22"/>
          <w:szCs w:val="22"/>
        </w:rPr>
        <w:t>Einleitung und Ablauf der Transfusion und Patientenüberwachung</w:t>
      </w: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pStyle w:val="Textkrper-Zeileneinzug"/>
        <w:ind w:left="0"/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>Nach Händedesinfektion und Anziehen von Handschuhen wird der Dorn des Transfusion</w:t>
      </w:r>
      <w:r w:rsidRPr="00E75737">
        <w:rPr>
          <w:rFonts w:ascii="TitilliumText Regular" w:hAnsi="TitilliumText Regular"/>
          <w:sz w:val="22"/>
          <w:szCs w:val="22"/>
        </w:rPr>
        <w:t>s</w:t>
      </w:r>
      <w:r w:rsidRPr="00E75737">
        <w:rPr>
          <w:rFonts w:ascii="TitilliumText Regular" w:hAnsi="TitilliumText Regular"/>
          <w:sz w:val="22"/>
          <w:szCs w:val="22"/>
        </w:rPr>
        <w:t>bestecks unter Vermeidung einer Kontamination vollständig in den Transfusionsstutzen eing</w:t>
      </w:r>
      <w:r w:rsidRPr="00E75737">
        <w:rPr>
          <w:rFonts w:ascii="TitilliumText Regular" w:hAnsi="TitilliumText Regular"/>
          <w:sz w:val="22"/>
          <w:szCs w:val="22"/>
        </w:rPr>
        <w:t>e</w:t>
      </w:r>
      <w:r w:rsidRPr="00E75737">
        <w:rPr>
          <w:rFonts w:ascii="TitilliumText Regular" w:hAnsi="TitilliumText Regular"/>
          <w:sz w:val="22"/>
          <w:szCs w:val="22"/>
        </w:rPr>
        <w:t>führt.</w:t>
      </w: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>Die Tropfkammer und das Schlauchsystem werden befüllt und an den venösen Zugang angeschlo</w:t>
      </w:r>
      <w:r w:rsidRPr="00E75737">
        <w:rPr>
          <w:rFonts w:ascii="TitilliumText Regular" w:hAnsi="TitilliumText Regular"/>
          <w:sz w:val="22"/>
          <w:szCs w:val="22"/>
        </w:rPr>
        <w:t>s</w:t>
      </w:r>
      <w:r w:rsidRPr="00E75737">
        <w:rPr>
          <w:rFonts w:ascii="TitilliumText Regular" w:hAnsi="TitilliumText Regular"/>
          <w:sz w:val="22"/>
          <w:szCs w:val="22"/>
        </w:rPr>
        <w:t>sen. In der Regel erfolgt die Transfusion über eine periphere Vene des Arms.</w:t>
      </w: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>Über denselben Zugang dürfen zeitgleich keine anderen Medikamente/Infusionslösungen vera</w:t>
      </w:r>
      <w:r w:rsidRPr="00E75737">
        <w:rPr>
          <w:rFonts w:ascii="TitilliumText Regular" w:hAnsi="TitilliumText Regular"/>
          <w:sz w:val="22"/>
          <w:szCs w:val="22"/>
        </w:rPr>
        <w:t>b</w:t>
      </w:r>
      <w:r w:rsidRPr="00E75737">
        <w:rPr>
          <w:rFonts w:ascii="TitilliumText Regular" w:hAnsi="TitilliumText Regular"/>
          <w:sz w:val="22"/>
          <w:szCs w:val="22"/>
        </w:rPr>
        <w:t>reicht werden, da die Gefahr der Gerinnselbildung bzw. der Hämolyse besteht.</w:t>
      </w: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 xml:space="preserve">Die Beimengung von Infusionslösungen/Medikamenten zum </w:t>
      </w:r>
      <w:proofErr w:type="spellStart"/>
      <w:r w:rsidRPr="00E75737">
        <w:rPr>
          <w:rFonts w:ascii="TitilliumText Regular" w:hAnsi="TitilliumText Regular"/>
          <w:sz w:val="22"/>
          <w:szCs w:val="22"/>
        </w:rPr>
        <w:t>Erythrozytenkonzentrat</w:t>
      </w:r>
      <w:proofErr w:type="spellEnd"/>
      <w:r w:rsidRPr="00E75737">
        <w:rPr>
          <w:rFonts w:ascii="TitilliumText Regular" w:hAnsi="TitilliumText Regular"/>
          <w:sz w:val="22"/>
          <w:szCs w:val="22"/>
        </w:rPr>
        <w:t xml:space="preserve"> ist nicht e</w:t>
      </w:r>
      <w:r w:rsidRPr="00E75737">
        <w:rPr>
          <w:rFonts w:ascii="TitilliumText Regular" w:hAnsi="TitilliumText Regular"/>
          <w:sz w:val="22"/>
          <w:szCs w:val="22"/>
        </w:rPr>
        <w:t>r</w:t>
      </w:r>
      <w:r w:rsidRPr="00E75737">
        <w:rPr>
          <w:rFonts w:ascii="TitilliumText Regular" w:hAnsi="TitilliumText Regular"/>
          <w:sz w:val="22"/>
          <w:szCs w:val="22"/>
        </w:rPr>
        <w:t>laubt.</w:t>
      </w: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>Die Transfusionsgeschwindigkeit ist dem klinischen Zustand des Patienten anzupassen.</w:t>
      </w: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>Eröffnete Erythrozytenkonzentrate sind innerhalb von 6 Stunden zu transfundieren oder zu ve</w:t>
      </w:r>
      <w:r w:rsidRPr="00E75737">
        <w:rPr>
          <w:rFonts w:ascii="TitilliumText Regular" w:hAnsi="TitilliumText Regular"/>
          <w:sz w:val="22"/>
          <w:szCs w:val="22"/>
        </w:rPr>
        <w:t>r</w:t>
      </w:r>
      <w:r w:rsidRPr="00E75737">
        <w:rPr>
          <w:rFonts w:ascii="TitilliumText Regular" w:hAnsi="TitilliumText Regular"/>
          <w:sz w:val="22"/>
          <w:szCs w:val="22"/>
        </w:rPr>
        <w:t>werfen.</w:t>
      </w: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>Für die Überwachung des Patienten während der Transfusion ist der ärztliche Leiter der Einric</w:t>
      </w:r>
      <w:r w:rsidRPr="00E75737">
        <w:rPr>
          <w:rFonts w:ascii="TitilliumText Regular" w:hAnsi="TitilliumText Regular"/>
          <w:sz w:val="22"/>
          <w:szCs w:val="22"/>
        </w:rPr>
        <w:t>h</w:t>
      </w:r>
      <w:r w:rsidRPr="00E75737">
        <w:rPr>
          <w:rFonts w:ascii="TitilliumText Regular" w:hAnsi="TitilliumText Regular"/>
          <w:sz w:val="22"/>
          <w:szCs w:val="22"/>
        </w:rPr>
        <w:t xml:space="preserve">tung verantwortlich. Er kann diese an geschultes Personal delegieren, hat jedoch sicherzustellen, dass das beauftragte Personal die Symptome der unerwünschten Wirkungen von </w:t>
      </w:r>
      <w:proofErr w:type="spellStart"/>
      <w:r w:rsidRPr="00E75737">
        <w:rPr>
          <w:rFonts w:ascii="TitilliumText Regular" w:hAnsi="TitilliumText Regular"/>
          <w:sz w:val="22"/>
          <w:szCs w:val="22"/>
        </w:rPr>
        <w:t>Erythrozyte</w:t>
      </w:r>
      <w:r w:rsidRPr="00E75737">
        <w:rPr>
          <w:rFonts w:ascii="TitilliumText Regular" w:hAnsi="TitilliumText Regular"/>
          <w:sz w:val="22"/>
          <w:szCs w:val="22"/>
        </w:rPr>
        <w:t>n</w:t>
      </w:r>
      <w:r w:rsidRPr="00E75737">
        <w:rPr>
          <w:rFonts w:ascii="TitilliumText Regular" w:hAnsi="TitilliumText Regular"/>
          <w:sz w:val="22"/>
          <w:szCs w:val="22"/>
        </w:rPr>
        <w:t>konzentraten</w:t>
      </w:r>
      <w:proofErr w:type="spellEnd"/>
      <w:r w:rsidRPr="00E75737">
        <w:rPr>
          <w:rFonts w:ascii="TitilliumText Regular" w:hAnsi="TitilliumText Regular"/>
          <w:sz w:val="22"/>
          <w:szCs w:val="22"/>
        </w:rPr>
        <w:t xml:space="preserve"> kennt und für den Patienten jederzeit unmittelbar erreichbar ist. Bei Auftreten von unerwünschten Wi</w:t>
      </w:r>
      <w:r w:rsidRPr="00E75737">
        <w:rPr>
          <w:rFonts w:ascii="TitilliumText Regular" w:hAnsi="TitilliumText Regular"/>
          <w:sz w:val="22"/>
          <w:szCs w:val="22"/>
        </w:rPr>
        <w:t>r</w:t>
      </w:r>
      <w:r w:rsidRPr="00E75737">
        <w:rPr>
          <w:rFonts w:ascii="TitilliumText Regular" w:hAnsi="TitilliumText Regular"/>
          <w:sz w:val="22"/>
          <w:szCs w:val="22"/>
        </w:rPr>
        <w:t>kungen muss die Transfusion sofort unterbrochen, der Zugang jedoch belassen und der ärztliche Le</w:t>
      </w:r>
      <w:r w:rsidRPr="00E75737">
        <w:rPr>
          <w:rFonts w:ascii="TitilliumText Regular" w:hAnsi="TitilliumText Regular"/>
          <w:sz w:val="22"/>
          <w:szCs w:val="22"/>
        </w:rPr>
        <w:t>i</w:t>
      </w:r>
      <w:r w:rsidRPr="00E75737">
        <w:rPr>
          <w:rFonts w:ascii="TitilliumText Regular" w:hAnsi="TitilliumText Regular"/>
          <w:sz w:val="22"/>
          <w:szCs w:val="22"/>
        </w:rPr>
        <w:t>ter der Einrichtung informiert werden. Dieser muss persönlich anwesend sein. Er en</w:t>
      </w:r>
      <w:r w:rsidRPr="00E75737">
        <w:rPr>
          <w:rFonts w:ascii="TitilliumText Regular" w:hAnsi="TitilliumText Regular"/>
          <w:sz w:val="22"/>
          <w:szCs w:val="22"/>
        </w:rPr>
        <w:t>t</w:t>
      </w:r>
      <w:r w:rsidRPr="00E75737">
        <w:rPr>
          <w:rFonts w:ascii="TitilliumText Regular" w:hAnsi="TitilliumText Regular"/>
          <w:sz w:val="22"/>
          <w:szCs w:val="22"/>
        </w:rPr>
        <w:t>scheidet über das weitere Vorgehen.</w:t>
      </w: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 xml:space="preserve">Nach Abschluss der Transfusion ist das Behältnis mit dem Restblut keimdicht zu verschließen </w:t>
      </w:r>
      <w:r w:rsidRPr="00E75737">
        <w:rPr>
          <w:rFonts w:ascii="TitilliumText Regular" w:hAnsi="TitilliumText Regular"/>
          <w:sz w:val="22"/>
          <w:szCs w:val="22"/>
        </w:rPr>
        <w:br/>
        <w:t xml:space="preserve">(z. B. fester Knoten im Transfusionsschlauch/Stopfen im Transfusionsstutzen) und bei </w:t>
      </w:r>
      <w:r w:rsidR="00D01746">
        <w:rPr>
          <w:rFonts w:ascii="TitilliumText Regular" w:hAnsi="TitilliumText Regular"/>
          <w:sz w:val="22"/>
          <w:szCs w:val="22"/>
        </w:rPr>
        <w:t>+ 1</w:t>
      </w:r>
      <w:r w:rsidRPr="00E75737">
        <w:rPr>
          <w:rFonts w:ascii="TitilliumText Regular" w:hAnsi="TitilliumText Regular"/>
          <w:sz w:val="22"/>
          <w:szCs w:val="22"/>
        </w:rPr>
        <w:t xml:space="preserve">°C </w:t>
      </w:r>
      <w:r w:rsidR="00D01746">
        <w:rPr>
          <w:rFonts w:ascii="TitilliumText Regular" w:hAnsi="TitilliumText Regular"/>
          <w:sz w:val="22"/>
          <w:szCs w:val="22"/>
        </w:rPr>
        <w:t>bis + 10</w:t>
      </w:r>
      <w:r w:rsidRPr="00E75737">
        <w:rPr>
          <w:rFonts w:ascii="TitilliumText Regular" w:hAnsi="TitilliumText Regular"/>
          <w:sz w:val="22"/>
          <w:szCs w:val="22"/>
        </w:rPr>
        <w:t>°C 24 Stunden aufzubewahren. Bei unerwarteten Nebenwirkungen muss das Restbehältnis für die Urs</w:t>
      </w:r>
      <w:r w:rsidRPr="00E75737">
        <w:rPr>
          <w:rFonts w:ascii="TitilliumText Regular" w:hAnsi="TitilliumText Regular"/>
          <w:sz w:val="22"/>
          <w:szCs w:val="22"/>
        </w:rPr>
        <w:t>a</w:t>
      </w:r>
      <w:r w:rsidRPr="00E75737">
        <w:rPr>
          <w:rFonts w:ascii="TitilliumText Regular" w:hAnsi="TitilliumText Regular"/>
          <w:sz w:val="22"/>
          <w:szCs w:val="22"/>
        </w:rPr>
        <w:t>chenklärung zur Verfügung stehen.</w:t>
      </w: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>Nach der Transfusion soll der Patient mindestens 30 Minuten unter ärztlicher Kontrolle bleiben.</w:t>
      </w: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>Patienten sind vor der Entlassung auf Symptome einer unerwünschten Transfusionsreaktion zu befr</w:t>
      </w:r>
      <w:r w:rsidRPr="00E75737">
        <w:rPr>
          <w:rFonts w:ascii="TitilliumText Regular" w:hAnsi="TitilliumText Regular"/>
          <w:sz w:val="22"/>
          <w:szCs w:val="22"/>
        </w:rPr>
        <w:t>a</w:t>
      </w:r>
      <w:r w:rsidRPr="00E75737">
        <w:rPr>
          <w:rFonts w:ascii="TitilliumText Regular" w:hAnsi="TitilliumText Regular"/>
          <w:sz w:val="22"/>
          <w:szCs w:val="22"/>
        </w:rPr>
        <w:t>gen/zu untersuchen und darüber aufzuklären, welche Symptome später eintreten können.</w:t>
      </w: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>Eine Kontaktadresse für den Notfall (Person und Telefonnummer) muss mitgegeben werden.</w:t>
      </w:r>
    </w:p>
    <w:p w:rsidR="007362AE" w:rsidRPr="00E75737" w:rsidRDefault="007362AE">
      <w:pPr>
        <w:pStyle w:val="Textkrper-Zeileneinzug"/>
        <w:ind w:left="0"/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ind w:firstLine="360"/>
        <w:jc w:val="both"/>
        <w:rPr>
          <w:rFonts w:ascii="TitilliumText Regular" w:hAnsi="TitilliumText Regular"/>
          <w:i/>
          <w:iCs/>
          <w:sz w:val="22"/>
          <w:szCs w:val="22"/>
        </w:rPr>
      </w:pPr>
      <w:r w:rsidRPr="00E75737">
        <w:rPr>
          <w:rFonts w:ascii="TitilliumText Regular" w:hAnsi="TitilliumText Regular"/>
          <w:i/>
          <w:iCs/>
          <w:sz w:val="22"/>
          <w:szCs w:val="22"/>
        </w:rPr>
        <w:t>[Ergänzung einrichtungsspezifischer Besonderheiten]</w:t>
      </w:r>
    </w:p>
    <w:p w:rsidR="007362AE" w:rsidRPr="00E75737" w:rsidRDefault="007362AE">
      <w:pPr>
        <w:pStyle w:val="Textkrper-Zeileneinzug"/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pStyle w:val="Textkrper-Zeileneinzug"/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pStyle w:val="Textkrper-Zeileneinzug"/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pStyle w:val="Textkrper-Zeileneinzug"/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pStyle w:val="Textkrper-Zeileneinzug"/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pStyle w:val="Textkrper-Zeileneinzug"/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pStyle w:val="Textkrper-Zeileneinzug"/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pStyle w:val="Textkrper-Zeileneinzug"/>
        <w:jc w:val="both"/>
        <w:rPr>
          <w:rFonts w:ascii="TitilliumText Regular" w:hAnsi="TitilliumText Regular"/>
          <w:sz w:val="22"/>
          <w:szCs w:val="22"/>
        </w:rPr>
      </w:pPr>
    </w:p>
    <w:p w:rsidR="007362AE" w:rsidRPr="001E1252" w:rsidRDefault="007362AE">
      <w:pPr>
        <w:numPr>
          <w:ilvl w:val="0"/>
          <w:numId w:val="1"/>
        </w:numPr>
        <w:tabs>
          <w:tab w:val="clear" w:pos="720"/>
          <w:tab w:val="num" w:pos="0"/>
        </w:tabs>
        <w:jc w:val="both"/>
        <w:rPr>
          <w:rFonts w:ascii="TitilliumText Bold" w:hAnsi="TitilliumText Bold"/>
          <w:sz w:val="22"/>
          <w:szCs w:val="22"/>
        </w:rPr>
      </w:pPr>
      <w:r w:rsidRPr="001E1252">
        <w:rPr>
          <w:rFonts w:ascii="TitilliumText Bold" w:hAnsi="TitilliumText Bold"/>
          <w:sz w:val="22"/>
          <w:szCs w:val="22"/>
        </w:rPr>
        <w:t>Dokumentation</w:t>
      </w:r>
    </w:p>
    <w:p w:rsidR="007362AE" w:rsidRPr="00E75737" w:rsidRDefault="007362AE">
      <w:pPr>
        <w:jc w:val="both"/>
        <w:rPr>
          <w:rFonts w:ascii="TitilliumText Regular" w:hAnsi="TitilliumText Regular"/>
          <w:b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 xml:space="preserve">Die Dokumentation bei jeder Transfusion von </w:t>
      </w:r>
      <w:proofErr w:type="spellStart"/>
      <w:r w:rsidRPr="00E75737">
        <w:rPr>
          <w:rFonts w:ascii="TitilliumText Regular" w:hAnsi="TitilliumText Regular"/>
          <w:sz w:val="22"/>
          <w:szCs w:val="22"/>
        </w:rPr>
        <w:t>Erythrozytenkonzentraten</w:t>
      </w:r>
      <w:proofErr w:type="spellEnd"/>
      <w:r w:rsidRPr="00E75737">
        <w:rPr>
          <w:rFonts w:ascii="TitilliumText Regular" w:hAnsi="TitilliumText Regular"/>
          <w:sz w:val="22"/>
          <w:szCs w:val="22"/>
        </w:rPr>
        <w:t xml:space="preserve"> in den Patientenakten u</w:t>
      </w:r>
      <w:r w:rsidRPr="00E75737">
        <w:rPr>
          <w:rFonts w:ascii="TitilliumText Regular" w:hAnsi="TitilliumText Regular"/>
          <w:sz w:val="22"/>
          <w:szCs w:val="22"/>
        </w:rPr>
        <w:t>m</w:t>
      </w:r>
      <w:r w:rsidRPr="00E75737">
        <w:rPr>
          <w:rFonts w:ascii="TitilliumText Regular" w:hAnsi="TitilliumText Regular"/>
          <w:sz w:val="22"/>
          <w:szCs w:val="22"/>
        </w:rPr>
        <w:t>fasst:</w:t>
      </w:r>
    </w:p>
    <w:p w:rsidR="007362AE" w:rsidRPr="00E75737" w:rsidRDefault="007362AE" w:rsidP="00BE5457">
      <w:pPr>
        <w:numPr>
          <w:ilvl w:val="0"/>
          <w:numId w:val="2"/>
        </w:numPr>
        <w:tabs>
          <w:tab w:val="clear" w:pos="720"/>
          <w:tab w:val="num" w:pos="-360"/>
        </w:tabs>
        <w:autoSpaceDE w:val="0"/>
        <w:ind w:left="360"/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 xml:space="preserve">Begründung der Indikationsstellung </w:t>
      </w:r>
      <w:r w:rsidRPr="00E75737">
        <w:rPr>
          <w:rFonts w:ascii="TitilliumText Regular" w:hAnsi="TitilliumText Regular"/>
          <w:sz w:val="22"/>
          <w:szCs w:val="22"/>
          <w:u w:val="single"/>
        </w:rPr>
        <w:t>falls</w:t>
      </w:r>
      <w:r w:rsidRPr="00E75737">
        <w:rPr>
          <w:rFonts w:ascii="TitilliumText Regular" w:hAnsi="TitilliumText Regular"/>
          <w:sz w:val="22"/>
          <w:szCs w:val="22"/>
        </w:rPr>
        <w:t xml:space="preserve"> diese von den </w:t>
      </w:r>
      <w:r w:rsidR="00D01746">
        <w:rPr>
          <w:rFonts w:ascii="TitilliumText Regular" w:hAnsi="TitilliumText Regular"/>
          <w:i/>
          <w:sz w:val="22"/>
          <w:szCs w:val="22"/>
        </w:rPr>
        <w:t>Querschnitts-</w:t>
      </w:r>
      <w:r w:rsidRPr="00E75737">
        <w:rPr>
          <w:rFonts w:ascii="TitilliumText Regular" w:hAnsi="TitilliumText Regular"/>
          <w:i/>
          <w:iCs/>
          <w:sz w:val="22"/>
          <w:szCs w:val="22"/>
        </w:rPr>
        <w:t>Leitlinien zur Therapie mit Blutkompone</w:t>
      </w:r>
      <w:r w:rsidRPr="00E75737">
        <w:rPr>
          <w:rFonts w:ascii="TitilliumText Regular" w:hAnsi="TitilliumText Regular"/>
          <w:i/>
          <w:iCs/>
          <w:sz w:val="22"/>
          <w:szCs w:val="22"/>
        </w:rPr>
        <w:t>n</w:t>
      </w:r>
      <w:r w:rsidRPr="00E75737">
        <w:rPr>
          <w:rFonts w:ascii="TitilliumText Regular" w:hAnsi="TitilliumText Regular"/>
          <w:i/>
          <w:iCs/>
          <w:sz w:val="22"/>
          <w:szCs w:val="22"/>
        </w:rPr>
        <w:t>ten und Plasmaderivaten</w:t>
      </w:r>
      <w:r w:rsidRPr="00E75737">
        <w:rPr>
          <w:rFonts w:ascii="TitilliumText Regular" w:hAnsi="TitilliumText Regular"/>
          <w:sz w:val="22"/>
          <w:szCs w:val="22"/>
        </w:rPr>
        <w:t xml:space="preserve"> abweicht,</w:t>
      </w:r>
    </w:p>
    <w:p w:rsidR="007362AE" w:rsidRPr="00E75737" w:rsidRDefault="007362AE">
      <w:pPr>
        <w:numPr>
          <w:ilvl w:val="0"/>
          <w:numId w:val="2"/>
        </w:numPr>
        <w:tabs>
          <w:tab w:val="clear" w:pos="720"/>
          <w:tab w:val="num" w:pos="-360"/>
        </w:tabs>
        <w:ind w:left="360"/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>die Aufklärung des Patienten über die Transfusion und dessen Einwilligungserklärung,</w:t>
      </w:r>
    </w:p>
    <w:p w:rsidR="007362AE" w:rsidRPr="00E75737" w:rsidRDefault="007362AE">
      <w:pPr>
        <w:numPr>
          <w:ilvl w:val="0"/>
          <w:numId w:val="2"/>
        </w:numPr>
        <w:tabs>
          <w:tab w:val="clear" w:pos="720"/>
          <w:tab w:val="num" w:pos="-360"/>
        </w:tabs>
        <w:ind w:left="360"/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>das Ergebnis der Blutgruppenbesti</w:t>
      </w:r>
      <w:r w:rsidRPr="00E75737">
        <w:rPr>
          <w:rFonts w:ascii="TitilliumText Regular" w:hAnsi="TitilliumText Regular"/>
          <w:sz w:val="22"/>
          <w:szCs w:val="22"/>
        </w:rPr>
        <w:t>m</w:t>
      </w:r>
      <w:r w:rsidRPr="00E75737">
        <w:rPr>
          <w:rFonts w:ascii="TitilliumText Regular" w:hAnsi="TitilliumText Regular"/>
          <w:sz w:val="22"/>
          <w:szCs w:val="22"/>
        </w:rPr>
        <w:t>mung und des Antikörpersuchtests,</w:t>
      </w:r>
    </w:p>
    <w:p w:rsidR="007362AE" w:rsidRPr="00E75737" w:rsidRDefault="007362AE" w:rsidP="00BE5457">
      <w:pPr>
        <w:numPr>
          <w:ilvl w:val="0"/>
          <w:numId w:val="2"/>
        </w:numPr>
        <w:tabs>
          <w:tab w:val="clear" w:pos="720"/>
          <w:tab w:val="num" w:pos="-360"/>
        </w:tabs>
        <w:autoSpaceDE w:val="0"/>
        <w:ind w:left="360"/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>das Anforderungsformular</w:t>
      </w:r>
      <w:r w:rsidRPr="00634325">
        <w:rPr>
          <w:rFonts w:ascii="TitilliumText Regular" w:hAnsi="TitilliumText Regular" w:cs="Arial"/>
          <w:sz w:val="22"/>
          <w:szCs w:val="22"/>
          <w:vertAlign w:val="superscript"/>
        </w:rPr>
        <w:footnoteReference w:id="4"/>
      </w:r>
      <w:r w:rsidRPr="005F2E5A">
        <w:rPr>
          <w:rFonts w:ascii="TitilliumText Regular" w:hAnsi="TitilliumText Regular"/>
        </w:rPr>
        <w:t>,</w:t>
      </w:r>
    </w:p>
    <w:p w:rsidR="007362AE" w:rsidRPr="00E75737" w:rsidRDefault="007362AE" w:rsidP="00BE5457">
      <w:pPr>
        <w:numPr>
          <w:ilvl w:val="0"/>
          <w:numId w:val="2"/>
        </w:numPr>
        <w:tabs>
          <w:tab w:val="clear" w:pos="720"/>
          <w:tab w:val="num" w:pos="0"/>
        </w:tabs>
        <w:autoSpaceDE w:val="0"/>
        <w:ind w:left="360"/>
        <w:jc w:val="both"/>
        <w:rPr>
          <w:rFonts w:ascii="TitilliumText Regular" w:hAnsi="TitilliumText Regular" w:cs="Arial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 xml:space="preserve">die </w:t>
      </w:r>
      <w:proofErr w:type="spellStart"/>
      <w:r w:rsidRPr="00E75737">
        <w:rPr>
          <w:rFonts w:ascii="TitilliumText Regular" w:hAnsi="TitilliumText Regular"/>
          <w:sz w:val="22"/>
          <w:szCs w:val="22"/>
        </w:rPr>
        <w:t>Präparatenummer</w:t>
      </w:r>
      <w:proofErr w:type="spellEnd"/>
      <w:r w:rsidRPr="00E75737">
        <w:rPr>
          <w:rFonts w:ascii="TitilliumText Regular" w:hAnsi="TitilliumText Regular"/>
          <w:sz w:val="22"/>
          <w:szCs w:val="22"/>
        </w:rPr>
        <w:t xml:space="preserve"> („Konservennummer“</w:t>
      </w:r>
      <w:r w:rsidRPr="00505390">
        <w:rPr>
          <w:rFonts w:ascii="TitilliumText Regular" w:hAnsi="TitilliumText Regular"/>
          <w:sz w:val="14"/>
          <w:szCs w:val="14"/>
        </w:rPr>
        <w:t>)</w:t>
      </w:r>
      <w:r w:rsidRPr="00505390">
        <w:rPr>
          <w:rStyle w:val="Funotenzeichen"/>
          <w:rFonts w:ascii="TitilliumText Regular" w:hAnsi="TitilliumText Regular"/>
          <w:sz w:val="14"/>
          <w:szCs w:val="14"/>
        </w:rPr>
        <w:footnoteReference w:id="5"/>
      </w:r>
      <w:r w:rsidRPr="00505390">
        <w:rPr>
          <w:rFonts w:ascii="TitilliumText Regular" w:hAnsi="TitilliumText Regular"/>
          <w:sz w:val="16"/>
          <w:szCs w:val="16"/>
        </w:rPr>
        <w:t>,</w:t>
      </w:r>
      <w:r w:rsidRPr="00E75737">
        <w:rPr>
          <w:rFonts w:ascii="TitilliumText Regular" w:hAnsi="TitilliumText Regular"/>
          <w:sz w:val="22"/>
          <w:szCs w:val="22"/>
        </w:rPr>
        <w:t xml:space="preserve"> die Herstellerangabe</w:t>
      </w:r>
      <w:r w:rsidRPr="00505390">
        <w:rPr>
          <w:rStyle w:val="Funotenzeichen"/>
          <w:rFonts w:ascii="TitilliumText Regular" w:hAnsi="TitilliumText Regular" w:cs="Arial"/>
          <w:sz w:val="14"/>
          <w:szCs w:val="14"/>
        </w:rPr>
        <w:t>5</w:t>
      </w:r>
      <w:r w:rsidRPr="00E75737">
        <w:rPr>
          <w:rFonts w:ascii="TitilliumText Regular" w:hAnsi="TitilliumText Regular" w:cs="Arial"/>
          <w:sz w:val="22"/>
          <w:szCs w:val="22"/>
        </w:rPr>
        <w:t xml:space="preserve"> </w:t>
      </w:r>
      <w:r w:rsidRPr="00E75737">
        <w:rPr>
          <w:rFonts w:ascii="TitilliumText Regular" w:hAnsi="TitilliumText Regular"/>
          <w:sz w:val="22"/>
          <w:szCs w:val="22"/>
        </w:rPr>
        <w:t>(pharmazeutische Unte</w:t>
      </w:r>
      <w:r w:rsidRPr="00E75737">
        <w:rPr>
          <w:rFonts w:ascii="TitilliumText Regular" w:hAnsi="TitilliumText Regular"/>
          <w:sz w:val="22"/>
          <w:szCs w:val="22"/>
        </w:rPr>
        <w:t>r</w:t>
      </w:r>
      <w:r w:rsidRPr="00E75737">
        <w:rPr>
          <w:rFonts w:ascii="TitilliumText Regular" w:hAnsi="TitilliumText Regular"/>
          <w:sz w:val="22"/>
          <w:szCs w:val="22"/>
        </w:rPr>
        <w:t>nehmer, i. d. R. Blutspendedienst), die</w:t>
      </w:r>
      <w:r w:rsidRPr="00E75737">
        <w:rPr>
          <w:rFonts w:ascii="TitilliumText Regular" w:hAnsi="TitilliumText Regular" w:cs="Arial"/>
          <w:sz w:val="22"/>
          <w:szCs w:val="22"/>
        </w:rPr>
        <w:t xml:space="preserve"> Blutgruppenzugehörigkeit und das Ergebnis der serolog</w:t>
      </w:r>
      <w:r w:rsidRPr="00E75737">
        <w:rPr>
          <w:rFonts w:ascii="TitilliumText Regular" w:hAnsi="TitilliumText Regular" w:cs="Arial"/>
          <w:sz w:val="22"/>
          <w:szCs w:val="22"/>
        </w:rPr>
        <w:t>i</w:t>
      </w:r>
      <w:r w:rsidRPr="00E75737">
        <w:rPr>
          <w:rFonts w:ascii="TitilliumText Regular" w:hAnsi="TitilliumText Regular" w:cs="Arial"/>
          <w:sz w:val="22"/>
          <w:szCs w:val="22"/>
        </w:rPr>
        <w:t>schen Verträglichkeitsprobe (Kreuzprobe) sowie das Ergebnis des AB0-Identitätstests (Karte des AB0-Identitätstests wird nach Transfusion vernichtet),</w:t>
      </w:r>
    </w:p>
    <w:p w:rsidR="007362AE" w:rsidRPr="00E75737" w:rsidRDefault="007362AE" w:rsidP="00BE5457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ind w:left="360"/>
        <w:jc w:val="both"/>
        <w:rPr>
          <w:rFonts w:ascii="TitilliumText Regular" w:hAnsi="TitilliumText Regular" w:cs="Arial"/>
          <w:sz w:val="22"/>
          <w:szCs w:val="22"/>
        </w:rPr>
      </w:pPr>
      <w:r w:rsidRPr="00E75737">
        <w:rPr>
          <w:rFonts w:ascii="TitilliumText Regular" w:hAnsi="TitilliumText Regular" w:cs="Arial"/>
          <w:sz w:val="22"/>
          <w:szCs w:val="22"/>
        </w:rPr>
        <w:t>Datum und Uhrzeit der Verabreichung des Erythrozytenkonzentrates</w:t>
      </w:r>
      <w:r w:rsidRPr="00E75737">
        <w:rPr>
          <w:rFonts w:ascii="TitilliumText Regular" w:hAnsi="TitilliumText Regular" w:cs="Arial"/>
          <w:sz w:val="22"/>
          <w:szCs w:val="22"/>
          <w:vertAlign w:val="superscript"/>
        </w:rPr>
        <w:t>5</w:t>
      </w:r>
      <w:r w:rsidRPr="00E75737">
        <w:rPr>
          <w:rFonts w:ascii="TitilliumText Regular" w:hAnsi="TitilliumText Regular" w:cs="Arial"/>
          <w:sz w:val="22"/>
          <w:szCs w:val="22"/>
        </w:rPr>
        <w:t>,</w:t>
      </w:r>
    </w:p>
    <w:p w:rsidR="007362AE" w:rsidRPr="00E75737" w:rsidRDefault="007362A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itilliumText Regular" w:hAnsi="TitilliumText Regular" w:cs="Arial"/>
          <w:sz w:val="22"/>
          <w:szCs w:val="22"/>
        </w:rPr>
      </w:pPr>
      <w:r w:rsidRPr="00E75737">
        <w:rPr>
          <w:rFonts w:ascii="TitilliumText Regular" w:hAnsi="TitilliumText Regular" w:cs="Arial"/>
          <w:sz w:val="22"/>
          <w:szCs w:val="22"/>
        </w:rPr>
        <w:t>die anwendungsbezogenen Wirkungen werden durch geeignete Laborparameter (z.</w:t>
      </w:r>
      <w:r w:rsidR="005F2E5A">
        <w:rPr>
          <w:rFonts w:ascii="Arial" w:hAnsi="Arial" w:cs="Arial"/>
          <w:sz w:val="22"/>
          <w:szCs w:val="22"/>
        </w:rPr>
        <w:t xml:space="preserve"> </w:t>
      </w:r>
      <w:r w:rsidRPr="00E75737">
        <w:rPr>
          <w:rFonts w:ascii="TitilliumText Regular" w:hAnsi="TitilliumText Regular" w:cs="Arial"/>
          <w:sz w:val="22"/>
          <w:szCs w:val="22"/>
        </w:rPr>
        <w:t>B. Häm</w:t>
      </w:r>
      <w:r w:rsidRPr="00E75737">
        <w:rPr>
          <w:rFonts w:ascii="TitilliumText Regular" w:hAnsi="TitilliumText Regular" w:cs="Arial"/>
          <w:sz w:val="22"/>
          <w:szCs w:val="22"/>
        </w:rPr>
        <w:t>a</w:t>
      </w:r>
      <w:r w:rsidRPr="00E75737">
        <w:rPr>
          <w:rFonts w:ascii="TitilliumText Regular" w:hAnsi="TitilliumText Regular" w:cs="Arial"/>
          <w:sz w:val="22"/>
          <w:szCs w:val="22"/>
        </w:rPr>
        <w:t>tokrit) dokumentiert (vgl. Punkt 9),</w:t>
      </w:r>
    </w:p>
    <w:p w:rsidR="007362AE" w:rsidRPr="00E75737" w:rsidRDefault="007362A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 w:cs="Arial"/>
          <w:sz w:val="22"/>
          <w:szCs w:val="22"/>
        </w:rPr>
        <w:t>unerwünschte Wirkungen werden mit Datum und Angabe der Uhrzeit in den Patientenakten d</w:t>
      </w:r>
      <w:r w:rsidRPr="00E75737">
        <w:rPr>
          <w:rFonts w:ascii="TitilliumText Regular" w:hAnsi="TitilliumText Regular" w:cs="Arial"/>
          <w:sz w:val="22"/>
          <w:szCs w:val="22"/>
        </w:rPr>
        <w:t>o</w:t>
      </w:r>
      <w:r w:rsidRPr="00E75737">
        <w:rPr>
          <w:rFonts w:ascii="TitilliumText Regular" w:hAnsi="TitilliumText Regular" w:cs="Arial"/>
          <w:sz w:val="22"/>
          <w:szCs w:val="22"/>
        </w:rPr>
        <w:t xml:space="preserve">kumentiert. </w:t>
      </w:r>
    </w:p>
    <w:p w:rsidR="007362AE" w:rsidRPr="00E75737" w:rsidRDefault="007362AE">
      <w:pPr>
        <w:pStyle w:val="Funotentext"/>
        <w:spacing w:line="240" w:lineRule="auto"/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ind w:firstLine="360"/>
        <w:jc w:val="both"/>
        <w:rPr>
          <w:rFonts w:ascii="TitilliumText Regular" w:hAnsi="TitilliumText Regular"/>
          <w:i/>
          <w:iCs/>
          <w:sz w:val="22"/>
          <w:szCs w:val="22"/>
        </w:rPr>
      </w:pPr>
      <w:r w:rsidRPr="00E75737">
        <w:rPr>
          <w:rFonts w:ascii="TitilliumText Regular" w:hAnsi="TitilliumText Regular"/>
          <w:i/>
          <w:iCs/>
          <w:sz w:val="22"/>
          <w:szCs w:val="22"/>
        </w:rPr>
        <w:t>[Ergänzung einrichtungsspezifischer Besonderheiten]</w:t>
      </w:r>
    </w:p>
    <w:p w:rsidR="007362AE" w:rsidRPr="00E75737" w:rsidRDefault="007362AE">
      <w:pPr>
        <w:ind w:left="360"/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ind w:left="360"/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ind w:left="360"/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ind w:left="360"/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ind w:left="360"/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ind w:left="360"/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ind w:left="360"/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ind w:left="360"/>
        <w:jc w:val="both"/>
        <w:rPr>
          <w:rFonts w:ascii="TitilliumText Regular" w:hAnsi="TitilliumText Regular"/>
          <w:sz w:val="22"/>
          <w:szCs w:val="22"/>
        </w:rPr>
      </w:pPr>
    </w:p>
    <w:p w:rsidR="007362AE" w:rsidRPr="005F2E5A" w:rsidRDefault="007362AE">
      <w:pPr>
        <w:numPr>
          <w:ilvl w:val="0"/>
          <w:numId w:val="1"/>
        </w:numPr>
        <w:jc w:val="both"/>
        <w:rPr>
          <w:rFonts w:ascii="TitilliumText Bold" w:hAnsi="TitilliumText Bold"/>
          <w:sz w:val="22"/>
          <w:szCs w:val="22"/>
        </w:rPr>
      </w:pPr>
      <w:r w:rsidRPr="005F2E5A">
        <w:rPr>
          <w:rFonts w:ascii="TitilliumText Bold" w:hAnsi="TitilliumText Bold"/>
          <w:sz w:val="22"/>
          <w:szCs w:val="22"/>
        </w:rPr>
        <w:t>Therapiekontrolle</w:t>
      </w: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 xml:space="preserve">Die Wirksamkeit der Erythrozytentransfusion wird anhand klinischer Kriterien und der Bestimmung des Hämoglobinwertes / </w:t>
      </w:r>
      <w:proofErr w:type="spellStart"/>
      <w:r w:rsidRPr="00E75737">
        <w:rPr>
          <w:rFonts w:ascii="TitilliumText Regular" w:hAnsi="TitilliumText Regular"/>
          <w:sz w:val="22"/>
          <w:szCs w:val="22"/>
        </w:rPr>
        <w:t>Hämatokritwertes</w:t>
      </w:r>
      <w:proofErr w:type="spellEnd"/>
      <w:r w:rsidRPr="00E75737">
        <w:rPr>
          <w:rFonts w:ascii="TitilliumText Regular" w:hAnsi="TitilliumText Regular"/>
          <w:sz w:val="22"/>
          <w:szCs w:val="22"/>
        </w:rPr>
        <w:t xml:space="preserve"> dokumentiert. Bestehen Zweifel an der Wirksamkeit, ist die Ursache zu klären (Blutung, verzögerte Immunhämolyse, Autoimmunhämolyse etc.). Die Me</w:t>
      </w:r>
      <w:r w:rsidRPr="00E75737">
        <w:rPr>
          <w:rFonts w:ascii="TitilliumText Regular" w:hAnsi="TitilliumText Regular"/>
          <w:sz w:val="22"/>
          <w:szCs w:val="22"/>
        </w:rPr>
        <w:t>l</w:t>
      </w:r>
      <w:r w:rsidRPr="00E75737">
        <w:rPr>
          <w:rFonts w:ascii="TitilliumText Regular" w:hAnsi="TitilliumText Regular"/>
          <w:sz w:val="22"/>
          <w:szCs w:val="22"/>
        </w:rPr>
        <w:t>dung unerwünschter Wirkungen erfolgt nach den geltenden Vorschriften (vgl. § 16 TFG).</w:t>
      </w:r>
    </w:p>
    <w:p w:rsidR="007362AE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1B10A7" w:rsidRDefault="001B10A7">
      <w:pPr>
        <w:jc w:val="both"/>
        <w:rPr>
          <w:rFonts w:ascii="TitilliumText Regular" w:hAnsi="TitilliumText Regular"/>
          <w:sz w:val="22"/>
          <w:szCs w:val="22"/>
        </w:rPr>
      </w:pPr>
    </w:p>
    <w:p w:rsidR="001B10A7" w:rsidRDefault="001B10A7">
      <w:pPr>
        <w:jc w:val="both"/>
        <w:rPr>
          <w:rFonts w:ascii="TitilliumText Regular" w:hAnsi="TitilliumText Regular"/>
          <w:sz w:val="22"/>
          <w:szCs w:val="22"/>
        </w:rPr>
      </w:pPr>
    </w:p>
    <w:p w:rsidR="001B10A7" w:rsidRPr="00E75737" w:rsidRDefault="001B10A7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ind w:firstLine="360"/>
        <w:jc w:val="both"/>
        <w:rPr>
          <w:rFonts w:ascii="TitilliumText Regular" w:hAnsi="TitilliumText Regular"/>
          <w:i/>
          <w:iCs/>
          <w:sz w:val="22"/>
          <w:szCs w:val="22"/>
        </w:rPr>
      </w:pPr>
      <w:r w:rsidRPr="00E75737">
        <w:rPr>
          <w:rFonts w:ascii="TitilliumText Regular" w:hAnsi="TitilliumText Regular"/>
          <w:i/>
          <w:iCs/>
          <w:sz w:val="22"/>
          <w:szCs w:val="22"/>
        </w:rPr>
        <w:lastRenderedPageBreak/>
        <w:t>[Ergänzung einrichtungsspezifischer Besonderheiten]</w:t>
      </w: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634325" w:rsidRDefault="007362AE">
      <w:pPr>
        <w:numPr>
          <w:ilvl w:val="0"/>
          <w:numId w:val="1"/>
        </w:numPr>
        <w:jc w:val="both"/>
        <w:rPr>
          <w:rFonts w:ascii="TitilliumText Bold" w:hAnsi="TitilliumText Bold"/>
          <w:bCs/>
          <w:sz w:val="22"/>
          <w:szCs w:val="22"/>
        </w:rPr>
      </w:pPr>
      <w:r w:rsidRPr="00634325">
        <w:rPr>
          <w:rFonts w:ascii="TitilliumText Bold" w:hAnsi="TitilliumText Bold"/>
          <w:sz w:val="22"/>
          <w:szCs w:val="22"/>
        </w:rPr>
        <w:t>Ansprechpartner beim zuständigen immunhämatologischen Laboratorium</w:t>
      </w:r>
    </w:p>
    <w:p w:rsidR="007362AE" w:rsidRPr="00E75737" w:rsidRDefault="007362AE">
      <w:pPr>
        <w:jc w:val="both"/>
        <w:rPr>
          <w:rFonts w:ascii="TitilliumText Regular" w:hAnsi="TitilliumText Regular"/>
          <w:i/>
          <w:iCs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>Der ärztliche Ansprechpartner im zuständigen immunhämatologischen Laboratorium ist unter der Te</w:t>
      </w:r>
      <w:r w:rsidR="001772ED">
        <w:rPr>
          <w:rFonts w:ascii="TitilliumText Regular" w:hAnsi="TitilliumText Regular"/>
          <w:sz w:val="22"/>
          <w:szCs w:val="22"/>
        </w:rPr>
        <w:t>lefonnummer</w:t>
      </w:r>
      <w:r w:rsidR="001772ED" w:rsidRPr="001772ED">
        <w:rPr>
          <w:rFonts w:ascii="TitilliumText Regular" w:hAnsi="TitilliumText Regular"/>
          <w:sz w:val="22"/>
          <w:szCs w:val="22"/>
          <w:u w:val="single"/>
        </w:rPr>
        <w:t xml:space="preserve">                                                 </w:t>
      </w:r>
      <w:r w:rsidRPr="001772ED">
        <w:rPr>
          <w:rFonts w:ascii="TitilliumText Regular" w:hAnsi="TitilliumText Regular"/>
          <w:sz w:val="22"/>
          <w:szCs w:val="22"/>
          <w:u w:val="single"/>
        </w:rPr>
        <w:t xml:space="preserve"> </w:t>
      </w:r>
      <w:r w:rsidRPr="00E75737">
        <w:rPr>
          <w:rFonts w:ascii="TitilliumText Regular" w:hAnsi="TitilliumText Regular"/>
          <w:i/>
          <w:iCs/>
          <w:sz w:val="22"/>
          <w:szCs w:val="22"/>
        </w:rPr>
        <w:t>(bitte ergänzen)</w:t>
      </w:r>
      <w:r w:rsidRPr="00E75737">
        <w:rPr>
          <w:rFonts w:ascii="TitilliumText Regular" w:hAnsi="TitilliumText Regular"/>
          <w:sz w:val="22"/>
          <w:szCs w:val="22"/>
        </w:rPr>
        <w:t xml:space="preserve"> zu erreichen.</w:t>
      </w:r>
    </w:p>
    <w:p w:rsidR="007362AE" w:rsidRPr="00E75737" w:rsidRDefault="007362AE">
      <w:pPr>
        <w:jc w:val="both"/>
        <w:rPr>
          <w:rFonts w:ascii="TitilliumText Regular" w:hAnsi="TitilliumText Regular"/>
          <w:i/>
          <w:iCs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i/>
          <w:iCs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 xml:space="preserve">Die wesentlichen, bei der Transfusion von </w:t>
      </w:r>
      <w:proofErr w:type="spellStart"/>
      <w:r w:rsidRPr="00E75737">
        <w:rPr>
          <w:rFonts w:ascii="TitilliumText Regular" w:hAnsi="TitilliumText Regular"/>
          <w:sz w:val="22"/>
          <w:szCs w:val="22"/>
        </w:rPr>
        <w:t>Erythrozytenkonzentraten</w:t>
      </w:r>
      <w:proofErr w:type="spellEnd"/>
      <w:r w:rsidRPr="00E75737">
        <w:rPr>
          <w:rFonts w:ascii="TitilliumText Regular" w:hAnsi="TitilliumText Regular"/>
          <w:sz w:val="22"/>
          <w:szCs w:val="22"/>
        </w:rPr>
        <w:t xml:space="preserve"> zu beachtenden Schritte sind der als </w:t>
      </w:r>
      <w:r w:rsidRPr="00634325">
        <w:rPr>
          <w:rFonts w:ascii="TitilliumText Bold" w:hAnsi="TitilliumText Bold"/>
          <w:bCs/>
          <w:sz w:val="22"/>
          <w:szCs w:val="22"/>
        </w:rPr>
        <w:t>Anlage 1 beigefügten Checkliste</w:t>
      </w:r>
      <w:r w:rsidRPr="00E75737">
        <w:rPr>
          <w:rFonts w:ascii="TitilliumText Regular" w:hAnsi="TitilliumText Regular"/>
          <w:sz w:val="22"/>
          <w:szCs w:val="22"/>
        </w:rPr>
        <w:t xml:space="preserve"> zu entnehmen.</w:t>
      </w: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jc w:val="both"/>
        <w:rPr>
          <w:rFonts w:ascii="TitilliumText Regular" w:hAnsi="TitilliumText Regular"/>
          <w:sz w:val="22"/>
          <w:szCs w:val="22"/>
        </w:rPr>
      </w:pPr>
    </w:p>
    <w:p w:rsidR="007362AE" w:rsidRPr="00634325" w:rsidRDefault="007362AE">
      <w:pPr>
        <w:numPr>
          <w:ilvl w:val="0"/>
          <w:numId w:val="1"/>
        </w:numPr>
        <w:jc w:val="both"/>
        <w:rPr>
          <w:rFonts w:ascii="TitilliumText Bold" w:hAnsi="TitilliumText Bold" w:cs="Arial"/>
          <w:bCs/>
          <w:sz w:val="22"/>
          <w:szCs w:val="22"/>
        </w:rPr>
      </w:pPr>
      <w:r w:rsidRPr="00634325">
        <w:rPr>
          <w:rFonts w:ascii="TitilliumText Bold" w:hAnsi="TitilliumText Bold" w:cs="Arial"/>
          <w:bCs/>
          <w:sz w:val="22"/>
          <w:szCs w:val="22"/>
        </w:rPr>
        <w:t>Selbstverpflichtung</w:t>
      </w:r>
    </w:p>
    <w:p w:rsidR="007362AE" w:rsidRPr="00E75737" w:rsidRDefault="007362AE">
      <w:pPr>
        <w:rPr>
          <w:rFonts w:ascii="TitilliumText Regular" w:hAnsi="TitilliumText Regular"/>
          <w:sz w:val="22"/>
          <w:szCs w:val="22"/>
        </w:rPr>
      </w:pPr>
    </w:p>
    <w:p w:rsidR="007362AE" w:rsidRPr="00634325" w:rsidRDefault="007362AE" w:rsidP="00634325">
      <w:pPr>
        <w:jc w:val="both"/>
        <w:rPr>
          <w:rFonts w:ascii="TitilliumText Bold" w:hAnsi="TitilliumText Bold" w:cs="Arial"/>
          <w:bCs/>
          <w:sz w:val="22"/>
          <w:szCs w:val="22"/>
        </w:rPr>
      </w:pPr>
      <w:r w:rsidRPr="00634325">
        <w:rPr>
          <w:rFonts w:ascii="TitilliumText Bold" w:hAnsi="TitilliumText Bold"/>
          <w:bCs/>
          <w:sz w:val="22"/>
          <w:szCs w:val="22"/>
        </w:rPr>
        <w:t xml:space="preserve">Hiermit erkläre ich, dass ich der Leiter/ die Leiterin einer Einrichtung bin, die unter die Regelungen des </w:t>
      </w:r>
      <w:r w:rsidRPr="00634325">
        <w:rPr>
          <w:rFonts w:ascii="TitilliumText Bold" w:hAnsi="TitilliumText Bold" w:cs="Arial"/>
          <w:bCs/>
          <w:sz w:val="22"/>
          <w:szCs w:val="22"/>
        </w:rPr>
        <w:t>Abschnitts 1.6</w:t>
      </w:r>
      <w:r w:rsidR="00E86984">
        <w:rPr>
          <w:rFonts w:ascii="TitilliumText Bold" w:hAnsi="TitilliumText Bold" w:cs="Arial"/>
          <w:bCs/>
          <w:sz w:val="22"/>
          <w:szCs w:val="22"/>
        </w:rPr>
        <w:t xml:space="preserve">.2.1 </w:t>
      </w:r>
      <w:r w:rsidRPr="00634325">
        <w:rPr>
          <w:rFonts w:ascii="TitilliumText Bold" w:hAnsi="TitilliumText Bold" w:cs="Arial"/>
          <w:bCs/>
          <w:sz w:val="22"/>
          <w:szCs w:val="22"/>
        </w:rPr>
        <w:t>der Richtlinien zur Gewi</w:t>
      </w:r>
      <w:r w:rsidRPr="00634325">
        <w:rPr>
          <w:rFonts w:ascii="TitilliumText Bold" w:hAnsi="TitilliumText Bold" w:cs="Arial"/>
          <w:bCs/>
          <w:sz w:val="22"/>
          <w:szCs w:val="22"/>
        </w:rPr>
        <w:t>n</w:t>
      </w:r>
      <w:r w:rsidRPr="00634325">
        <w:rPr>
          <w:rFonts w:ascii="TitilliumText Bold" w:hAnsi="TitilliumText Bold" w:cs="Arial"/>
          <w:bCs/>
          <w:sz w:val="22"/>
          <w:szCs w:val="22"/>
        </w:rPr>
        <w:t>nung von Blut und Blutbestandteilen und zur Anwendung von Blutprodukten (H</w:t>
      </w:r>
      <w:r w:rsidRPr="00634325">
        <w:rPr>
          <w:rFonts w:ascii="TitilliumText Bold" w:hAnsi="TitilliumText Bold" w:cs="Arial"/>
          <w:bCs/>
          <w:sz w:val="22"/>
          <w:szCs w:val="22"/>
        </w:rPr>
        <w:t>ä</w:t>
      </w:r>
      <w:r w:rsidRPr="00634325">
        <w:rPr>
          <w:rFonts w:ascii="TitilliumText Bold" w:hAnsi="TitilliumText Bold" w:cs="Arial"/>
          <w:bCs/>
          <w:sz w:val="22"/>
          <w:szCs w:val="22"/>
        </w:rPr>
        <w:t xml:space="preserve">motherapie) fällt. </w:t>
      </w:r>
    </w:p>
    <w:p w:rsidR="007362AE" w:rsidRPr="00634325" w:rsidRDefault="007362AE" w:rsidP="00634325">
      <w:pPr>
        <w:jc w:val="both"/>
        <w:rPr>
          <w:rFonts w:ascii="TitilliumText Bold" w:hAnsi="TitilliumText Bold"/>
          <w:bCs/>
          <w:sz w:val="22"/>
          <w:szCs w:val="22"/>
        </w:rPr>
      </w:pPr>
      <w:r w:rsidRPr="00634325">
        <w:rPr>
          <w:rFonts w:ascii="TitilliumText Bold" w:hAnsi="TitilliumText Bold" w:cs="Arial"/>
          <w:bCs/>
          <w:sz w:val="22"/>
          <w:szCs w:val="22"/>
        </w:rPr>
        <w:t xml:space="preserve">Ich erkläre weiterhin, </w:t>
      </w:r>
      <w:r w:rsidRPr="00634325">
        <w:rPr>
          <w:rFonts w:ascii="TitilliumText Bold" w:hAnsi="TitilliumText Bold"/>
          <w:bCs/>
          <w:sz w:val="22"/>
          <w:szCs w:val="22"/>
        </w:rPr>
        <w:t xml:space="preserve">diese Arbeitsanweisung als Standard zur Transfusion von </w:t>
      </w:r>
      <w:proofErr w:type="spellStart"/>
      <w:r w:rsidRPr="00634325">
        <w:rPr>
          <w:rFonts w:ascii="TitilliumText Bold" w:hAnsi="TitilliumText Bold"/>
          <w:bCs/>
          <w:sz w:val="22"/>
          <w:szCs w:val="22"/>
        </w:rPr>
        <w:t>Erythrozytenkonzentr</w:t>
      </w:r>
      <w:r w:rsidRPr="00634325">
        <w:rPr>
          <w:rFonts w:ascii="TitilliumText Bold" w:hAnsi="TitilliumText Bold"/>
          <w:bCs/>
          <w:sz w:val="22"/>
          <w:szCs w:val="22"/>
        </w:rPr>
        <w:t>a</w:t>
      </w:r>
      <w:r w:rsidRPr="00634325">
        <w:rPr>
          <w:rFonts w:ascii="TitilliumText Bold" w:hAnsi="TitilliumText Bold"/>
          <w:bCs/>
          <w:sz w:val="22"/>
          <w:szCs w:val="22"/>
        </w:rPr>
        <w:t>ten</w:t>
      </w:r>
      <w:proofErr w:type="spellEnd"/>
      <w:r w:rsidRPr="00634325">
        <w:rPr>
          <w:rFonts w:ascii="TitilliumText Bold" w:hAnsi="TitilliumText Bold"/>
          <w:bCs/>
          <w:sz w:val="22"/>
          <w:szCs w:val="22"/>
        </w:rPr>
        <w:t xml:space="preserve"> zu beachten.</w:t>
      </w:r>
    </w:p>
    <w:p w:rsidR="007362AE" w:rsidRPr="00E75737" w:rsidRDefault="007362AE">
      <w:pPr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rPr>
          <w:rFonts w:ascii="TitilliumText Regular" w:hAnsi="TitilliumText Regular"/>
          <w:sz w:val="22"/>
          <w:szCs w:val="22"/>
        </w:rPr>
      </w:pPr>
    </w:p>
    <w:p w:rsidR="007362AE" w:rsidRPr="00E75737" w:rsidRDefault="007362AE">
      <w:pPr>
        <w:rPr>
          <w:rFonts w:ascii="TitilliumText Regular" w:hAnsi="TitilliumText Regular"/>
          <w:sz w:val="22"/>
          <w:szCs w:val="22"/>
        </w:rPr>
      </w:pPr>
    </w:p>
    <w:p w:rsidR="007362AE" w:rsidRPr="00B41588" w:rsidRDefault="00B41588">
      <w:pPr>
        <w:rPr>
          <w:rFonts w:ascii="TitilliumText Regular" w:hAnsi="TitilliumText Regular"/>
          <w:sz w:val="22"/>
          <w:szCs w:val="22"/>
        </w:rPr>
      </w:pPr>
      <w:r>
        <w:rPr>
          <w:rFonts w:ascii="TitilliumText Regular" w:hAnsi="TitilliumText Regular"/>
          <w:sz w:val="22"/>
          <w:szCs w:val="22"/>
        </w:rPr>
        <w:t>_______________________________________________________________________________</w:t>
      </w:r>
    </w:p>
    <w:p w:rsidR="007362AE" w:rsidRPr="00E75737" w:rsidRDefault="007362AE">
      <w:pPr>
        <w:rPr>
          <w:rFonts w:ascii="TitilliumText Regular" w:hAnsi="TitilliumText Regular"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t xml:space="preserve">Ort, Datum </w:t>
      </w:r>
      <w:r w:rsidRPr="00E75737">
        <w:rPr>
          <w:rFonts w:ascii="TitilliumText Regular" w:hAnsi="TitilliumText Regular"/>
          <w:sz w:val="22"/>
          <w:szCs w:val="22"/>
        </w:rPr>
        <w:tab/>
      </w:r>
      <w:r w:rsidRPr="00E75737">
        <w:rPr>
          <w:rFonts w:ascii="TitilliumText Regular" w:hAnsi="TitilliumText Regular"/>
          <w:sz w:val="22"/>
          <w:szCs w:val="22"/>
        </w:rPr>
        <w:tab/>
      </w:r>
      <w:r w:rsidRPr="00E75737">
        <w:rPr>
          <w:rFonts w:ascii="TitilliumText Regular" w:hAnsi="TitilliumText Regular"/>
          <w:sz w:val="22"/>
          <w:szCs w:val="22"/>
        </w:rPr>
        <w:tab/>
      </w:r>
      <w:r w:rsidRPr="00E75737">
        <w:rPr>
          <w:rFonts w:ascii="TitilliumText Regular" w:hAnsi="TitilliumText Regular"/>
          <w:sz w:val="22"/>
          <w:szCs w:val="22"/>
        </w:rPr>
        <w:tab/>
      </w:r>
      <w:r w:rsidRPr="00E75737">
        <w:rPr>
          <w:rFonts w:ascii="TitilliumText Regular" w:hAnsi="TitilliumText Regular"/>
          <w:sz w:val="22"/>
          <w:szCs w:val="22"/>
        </w:rPr>
        <w:tab/>
      </w:r>
      <w:r w:rsidRPr="00E75737">
        <w:rPr>
          <w:rFonts w:ascii="TitilliumText Regular" w:hAnsi="TitilliumText Regular"/>
          <w:sz w:val="22"/>
          <w:szCs w:val="22"/>
        </w:rPr>
        <w:tab/>
      </w:r>
      <w:r w:rsidRPr="00E75737">
        <w:rPr>
          <w:rFonts w:ascii="TitilliumText Regular" w:hAnsi="TitilliumText Regular"/>
          <w:sz w:val="22"/>
          <w:szCs w:val="22"/>
        </w:rPr>
        <w:tab/>
        <w:t xml:space="preserve">   Unterschrift   /   Stempel</w:t>
      </w:r>
    </w:p>
    <w:p w:rsidR="007362AE" w:rsidRPr="001772ED" w:rsidRDefault="007362AE">
      <w:pPr>
        <w:tabs>
          <w:tab w:val="left" w:pos="7920"/>
        </w:tabs>
        <w:jc w:val="right"/>
        <w:rPr>
          <w:rFonts w:ascii="TitilliumText Bold" w:hAnsi="TitilliumText Bold"/>
          <w:bCs/>
          <w:sz w:val="22"/>
          <w:szCs w:val="22"/>
        </w:rPr>
      </w:pPr>
      <w:r w:rsidRPr="00E75737">
        <w:rPr>
          <w:rFonts w:ascii="TitilliumText Regular" w:hAnsi="TitilliumText Regular"/>
          <w:sz w:val="22"/>
          <w:szCs w:val="22"/>
        </w:rPr>
        <w:br w:type="page"/>
      </w:r>
    </w:p>
    <w:p w:rsidR="007362AE" w:rsidRPr="001772ED" w:rsidRDefault="007362AE">
      <w:pPr>
        <w:tabs>
          <w:tab w:val="left" w:pos="7920"/>
        </w:tabs>
        <w:jc w:val="right"/>
        <w:rPr>
          <w:rFonts w:ascii="TitilliumText Bold" w:hAnsi="TitilliumText Bold"/>
          <w:bCs/>
          <w:sz w:val="22"/>
          <w:szCs w:val="22"/>
        </w:rPr>
      </w:pPr>
    </w:p>
    <w:p w:rsidR="007362AE" w:rsidRPr="00AC22E5" w:rsidRDefault="007362AE">
      <w:pPr>
        <w:tabs>
          <w:tab w:val="left" w:pos="7920"/>
        </w:tabs>
        <w:jc w:val="center"/>
        <w:rPr>
          <w:rFonts w:ascii="TitilliumText Bold" w:hAnsi="TitilliumText Bold"/>
          <w:sz w:val="22"/>
          <w:szCs w:val="22"/>
        </w:rPr>
      </w:pPr>
      <w:r w:rsidRPr="00AC22E5">
        <w:rPr>
          <w:rFonts w:ascii="TitilliumText Bold" w:hAnsi="TitilliumText Bold"/>
          <w:sz w:val="22"/>
          <w:szCs w:val="22"/>
        </w:rPr>
        <w:t xml:space="preserve">Anlage 1: Checkliste zur Transfusion von </w:t>
      </w:r>
      <w:proofErr w:type="spellStart"/>
      <w:r w:rsidRPr="00AC22E5">
        <w:rPr>
          <w:rFonts w:ascii="TitilliumText Bold" w:hAnsi="TitilliumText Bold"/>
          <w:sz w:val="22"/>
          <w:szCs w:val="22"/>
        </w:rPr>
        <w:t>Erythrozytenkonzentraten</w:t>
      </w:r>
      <w:proofErr w:type="spellEnd"/>
      <w:r w:rsidRPr="00AC22E5">
        <w:rPr>
          <w:rFonts w:ascii="TitilliumText Bold" w:hAnsi="TitilliumText Bold"/>
          <w:sz w:val="22"/>
          <w:szCs w:val="22"/>
        </w:rPr>
        <w:t xml:space="preserve"> (EK)</w:t>
      </w:r>
    </w:p>
    <w:p w:rsidR="007362AE" w:rsidRPr="00E75737" w:rsidRDefault="007362AE">
      <w:pPr>
        <w:tabs>
          <w:tab w:val="left" w:pos="7920"/>
        </w:tabs>
        <w:rPr>
          <w:rFonts w:ascii="TitilliumText Regular" w:hAnsi="TitilliumText Regular"/>
          <w:sz w:val="22"/>
          <w:szCs w:val="22"/>
        </w:rPr>
      </w:pPr>
    </w:p>
    <w:p w:rsidR="007362AE" w:rsidRPr="00E75737" w:rsidRDefault="00857FF2">
      <w:pPr>
        <w:tabs>
          <w:tab w:val="left" w:pos="7920"/>
        </w:tabs>
        <w:rPr>
          <w:rFonts w:ascii="TitilliumText Regular" w:hAnsi="TitilliumText Regular"/>
          <w:sz w:val="22"/>
          <w:szCs w:val="22"/>
        </w:rPr>
      </w:pPr>
      <w:r>
        <w:rPr>
          <w:rFonts w:ascii="TitilliumText Regular" w:hAnsi="TitilliumText Regular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751205</wp:posOffset>
                </wp:positionH>
                <wp:positionV relativeFrom="paragraph">
                  <wp:posOffset>88900</wp:posOffset>
                </wp:positionV>
                <wp:extent cx="4114800" cy="8343900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0" cy="8343900"/>
                          <a:chOff x="2498" y="2958"/>
                          <a:chExt cx="6480" cy="13140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658" y="2958"/>
                            <a:ext cx="23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62AE" w:rsidRPr="00AC22E5" w:rsidRDefault="007362AE">
                              <w:pPr>
                                <w:pStyle w:val="berschrift1"/>
                                <w:jc w:val="center"/>
                                <w:rPr>
                                  <w:rFonts w:ascii="TitilliumText Bold" w:hAnsi="TitilliumText Bold"/>
                                  <w:b w:val="0"/>
                                  <w:sz w:val="22"/>
                                  <w:szCs w:val="22"/>
                                </w:rPr>
                              </w:pPr>
                              <w:r w:rsidRPr="00AC22E5">
                                <w:rPr>
                                  <w:rFonts w:ascii="TitilliumText Bold" w:hAnsi="TitilliumText Bold"/>
                                  <w:b w:val="0"/>
                                  <w:sz w:val="22"/>
                                  <w:szCs w:val="22"/>
                                </w:rPr>
                                <w:t>Anlieferung des 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658" y="4398"/>
                            <a:ext cx="23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62AE" w:rsidRPr="00AC22E5" w:rsidRDefault="007362AE">
                              <w:pPr>
                                <w:rPr>
                                  <w:rFonts w:ascii="TitilliumText Regular" w:hAnsi="TitilliumText Regular" w:cs="Arial"/>
                                  <w:sz w:val="22"/>
                                  <w:szCs w:val="22"/>
                                </w:rPr>
                              </w:pPr>
                              <w:r w:rsidRPr="00AC22E5">
                                <w:rPr>
                                  <w:rFonts w:ascii="TitilliumText Regular" w:hAnsi="TitilliumText Regular" w:cs="Arial"/>
                                  <w:sz w:val="22"/>
                                  <w:szCs w:val="22"/>
                                </w:rPr>
                                <w:t>Kontrolle der</w:t>
                              </w:r>
                            </w:p>
                            <w:p w:rsidR="007362AE" w:rsidRPr="00AC22E5" w:rsidRDefault="007362AE">
                              <w:pPr>
                                <w:rPr>
                                  <w:rFonts w:ascii="TitilliumText Regular" w:hAnsi="TitilliumText Regular"/>
                                  <w:sz w:val="22"/>
                                  <w:szCs w:val="22"/>
                                </w:rPr>
                              </w:pPr>
                              <w:r w:rsidRPr="00AC22E5">
                                <w:rPr>
                                  <w:rFonts w:ascii="TitilliumText Regular" w:hAnsi="TitilliumText Regular" w:cs="Arial"/>
                                  <w:sz w:val="22"/>
                                  <w:szCs w:val="22"/>
                                </w:rPr>
                                <w:t>Begleitpapiere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638" y="4758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62AE" w:rsidRDefault="007362A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658" y="5658"/>
                            <a:ext cx="2340" cy="9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62AE" w:rsidRPr="00AC22E5" w:rsidRDefault="007362AE">
                              <w:pPr>
                                <w:rPr>
                                  <w:rFonts w:ascii="TitilliumText Regular" w:hAnsi="TitilliumText Regular" w:cs="Arial"/>
                                  <w:sz w:val="22"/>
                                  <w:szCs w:val="22"/>
                                </w:rPr>
                              </w:pPr>
                              <w:r w:rsidRPr="00AC22E5">
                                <w:rPr>
                                  <w:rFonts w:ascii="TitilliumText Regular" w:hAnsi="TitilliumText Regular" w:cs="Arial"/>
                                  <w:sz w:val="22"/>
                                  <w:szCs w:val="22"/>
                                </w:rPr>
                                <w:t>Patienten-Identität</w:t>
                              </w:r>
                            </w:p>
                            <w:p w:rsidR="007362AE" w:rsidRPr="00AC22E5" w:rsidRDefault="007362AE">
                              <w:pPr>
                                <w:rPr>
                                  <w:rFonts w:ascii="TitilliumText Regular" w:hAnsi="TitilliumText Regular" w:cs="Arial"/>
                                  <w:sz w:val="22"/>
                                  <w:szCs w:val="22"/>
                                </w:rPr>
                              </w:pPr>
                              <w:r w:rsidRPr="00AC22E5">
                                <w:rPr>
                                  <w:rFonts w:ascii="TitilliumText Regular" w:hAnsi="TitilliumText Regular" w:cs="Arial"/>
                                  <w:sz w:val="22"/>
                                  <w:szCs w:val="22"/>
                                </w:rPr>
                                <w:t>sichern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561" y="604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62AE" w:rsidRDefault="007362A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758" y="7098"/>
                            <a:ext cx="414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62AE" w:rsidRPr="00AC22E5" w:rsidRDefault="007362AE">
                              <w:pPr>
                                <w:rPr>
                                  <w:rFonts w:ascii="TitilliumText Regular" w:hAnsi="TitilliumText Regular" w:cs="Arial"/>
                                  <w:sz w:val="22"/>
                                  <w:szCs w:val="22"/>
                                </w:rPr>
                              </w:pPr>
                              <w:r w:rsidRPr="00AC22E5">
                                <w:rPr>
                                  <w:rFonts w:ascii="TitilliumText Regular" w:hAnsi="TitilliumText Regular" w:cs="Arial"/>
                                  <w:sz w:val="22"/>
                                  <w:szCs w:val="22"/>
                                </w:rPr>
                                <w:t xml:space="preserve">Schriftliche Dokumentation der Aufklärung und des </w:t>
                              </w:r>
                            </w:p>
                            <w:p w:rsidR="007362AE" w:rsidRPr="00AC22E5" w:rsidRDefault="007362AE">
                              <w:pPr>
                                <w:rPr>
                                  <w:rFonts w:ascii="TitilliumText Regular" w:hAnsi="TitilliumText Regular" w:cs="Arial"/>
                                  <w:sz w:val="22"/>
                                  <w:szCs w:val="22"/>
                                </w:rPr>
                              </w:pPr>
                              <w:r w:rsidRPr="00AC22E5">
                                <w:rPr>
                                  <w:rFonts w:ascii="TitilliumText Regular" w:hAnsi="TitilliumText Regular" w:cs="Arial"/>
                                  <w:sz w:val="22"/>
                                  <w:szCs w:val="22"/>
                                </w:rPr>
                                <w:t xml:space="preserve">Einverständnisses des </w:t>
                              </w:r>
                            </w:p>
                            <w:p w:rsidR="007362AE" w:rsidRPr="00AC22E5" w:rsidRDefault="007362AE">
                              <w:pPr>
                                <w:rPr>
                                  <w:rFonts w:ascii="TitilliumText Regular" w:hAnsi="TitilliumText Regular" w:cs="Arial"/>
                                  <w:sz w:val="22"/>
                                  <w:szCs w:val="22"/>
                                </w:rPr>
                              </w:pPr>
                              <w:r w:rsidRPr="00AC22E5">
                                <w:rPr>
                                  <w:rFonts w:ascii="TitilliumText Regular" w:hAnsi="TitilliumText Regular" w:cs="Arial"/>
                                  <w:sz w:val="22"/>
                                  <w:szCs w:val="22"/>
                                </w:rPr>
                                <w:t>Patienten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281" y="77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62AE" w:rsidRDefault="007362A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498" y="8898"/>
                            <a:ext cx="6480" cy="3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62AE" w:rsidRPr="00AC22E5" w:rsidRDefault="007362AE" w:rsidP="00BE5457">
                              <w:pPr>
                                <w:autoSpaceDE w:val="0"/>
                                <w:spacing w:line="360" w:lineRule="auto"/>
                                <w:rPr>
                                  <w:rFonts w:ascii="TitilliumText Regular" w:hAnsi="TitilliumText Regular" w:cs="Arial"/>
                                  <w:u w:val="single"/>
                                </w:rPr>
                              </w:pPr>
                              <w:r w:rsidRPr="00AC22E5">
                                <w:rPr>
                                  <w:rFonts w:ascii="TitilliumText Regular" w:hAnsi="TitilliumText Regular" w:cs="Arial"/>
                                  <w:u w:val="single"/>
                                </w:rPr>
                                <w:t>Überprüfung und Dokumentation am Patienten:</w:t>
                              </w:r>
                            </w:p>
                            <w:p w:rsidR="007362AE" w:rsidRPr="00AC22E5" w:rsidRDefault="007362AE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line="360" w:lineRule="auto"/>
                                <w:rPr>
                                  <w:rFonts w:ascii="TitilliumText Regular" w:hAnsi="TitilliumText Regular" w:cs="Arial"/>
                                </w:rPr>
                              </w:pPr>
                              <w:r w:rsidRPr="00AC22E5">
                                <w:rPr>
                                  <w:rFonts w:ascii="TitilliumText Regular" w:hAnsi="TitilliumText Regular" w:cs="Arial"/>
                                </w:rPr>
                                <w:t>Zuordnung EK - Begleitschein - Patient</w:t>
                              </w:r>
                            </w:p>
                            <w:p w:rsidR="007362AE" w:rsidRPr="00AC22E5" w:rsidRDefault="007362AE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line="360" w:lineRule="auto"/>
                                <w:rPr>
                                  <w:rFonts w:ascii="TitilliumText Regular" w:hAnsi="TitilliumText Regular" w:cs="Arial"/>
                                </w:rPr>
                              </w:pPr>
                              <w:r w:rsidRPr="00AC22E5">
                                <w:rPr>
                                  <w:rFonts w:ascii="TitilliumText Regular" w:hAnsi="TitilliumText Regular" w:cs="Arial"/>
                                </w:rPr>
                                <w:t>Blutgruppe EK und Blutgruppe Patient gleich bzw.</w:t>
                              </w:r>
                            </w:p>
                            <w:p w:rsidR="007362AE" w:rsidRPr="00AC22E5" w:rsidRDefault="007362AE">
                              <w:pPr>
                                <w:spacing w:line="360" w:lineRule="auto"/>
                                <w:ind w:firstLine="708"/>
                                <w:rPr>
                                  <w:rFonts w:ascii="TitilliumText Regular" w:hAnsi="TitilliumText Regular" w:cs="Arial"/>
                                </w:rPr>
                              </w:pPr>
                              <w:r w:rsidRPr="00AC22E5">
                                <w:rPr>
                                  <w:rFonts w:ascii="TitilliumText Regular" w:hAnsi="TitilliumText Regular" w:cs="Arial"/>
                                </w:rPr>
                                <w:t>kompatibel</w:t>
                              </w:r>
                            </w:p>
                            <w:p w:rsidR="007362AE" w:rsidRPr="00AC22E5" w:rsidRDefault="007362AE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line="360" w:lineRule="auto"/>
                                <w:rPr>
                                  <w:rFonts w:ascii="TitilliumText Regular" w:hAnsi="TitilliumText Regular" w:cs="Arial"/>
                                </w:rPr>
                              </w:pPr>
                              <w:r w:rsidRPr="00AC22E5">
                                <w:rPr>
                                  <w:rFonts w:ascii="TitilliumText Regular" w:hAnsi="TitilliumText Regular" w:cs="Arial"/>
                                </w:rPr>
                                <w:t>gleichlautende Nummern auf EK-Etikett und</w:t>
                              </w:r>
                            </w:p>
                            <w:p w:rsidR="007362AE" w:rsidRPr="00AC22E5" w:rsidRDefault="007362AE">
                              <w:pPr>
                                <w:spacing w:line="360" w:lineRule="auto"/>
                                <w:ind w:firstLine="708"/>
                                <w:rPr>
                                  <w:rFonts w:ascii="TitilliumText Regular" w:hAnsi="TitilliumText Regular" w:cs="Arial"/>
                                </w:rPr>
                              </w:pPr>
                              <w:r w:rsidRPr="00AC22E5">
                                <w:rPr>
                                  <w:rFonts w:ascii="TitilliumText Regular" w:hAnsi="TitilliumText Regular" w:cs="Arial"/>
                                </w:rPr>
                                <w:t>Begleitschein</w:t>
                              </w:r>
                            </w:p>
                            <w:p w:rsidR="007362AE" w:rsidRPr="00AC22E5" w:rsidRDefault="007362AE" w:rsidP="00AC22E5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line="360" w:lineRule="auto"/>
                                <w:rPr>
                                  <w:rFonts w:ascii="TitilliumText Regular" w:hAnsi="TitilliumText Regular" w:cs="Arial"/>
                                </w:rPr>
                              </w:pPr>
                              <w:r w:rsidRPr="00AC22E5">
                                <w:rPr>
                                  <w:rFonts w:ascii="TitilliumText Regular" w:hAnsi="TitilliumText Regular" w:cs="Arial"/>
                                </w:rPr>
                                <w:t>Ve</w:t>
                              </w:r>
                              <w:r w:rsidR="00AC22E5">
                                <w:rPr>
                                  <w:rFonts w:ascii="TitilliumText Regular" w:hAnsi="TitilliumText Regular" w:cs="Arial"/>
                                </w:rPr>
                                <w:t>rfallsdatum nicht überschritten</w:t>
                              </w:r>
                            </w:p>
                            <w:p w:rsidR="007362AE" w:rsidRPr="00AC22E5" w:rsidRDefault="007362AE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line="360" w:lineRule="auto"/>
                                <w:rPr>
                                  <w:rFonts w:ascii="TitilliumText Regular" w:hAnsi="TitilliumText Regular"/>
                                </w:rPr>
                              </w:pPr>
                              <w:r w:rsidRPr="00AC22E5">
                                <w:rPr>
                                  <w:rFonts w:ascii="TitilliumText Regular" w:hAnsi="TitilliumText Regular" w:cs="Arial"/>
                                </w:rPr>
                                <w:t>Sichtkontrolle der EK auf Unversehrtheit, Hämolyse</w:t>
                              </w:r>
                            </w:p>
                            <w:p w:rsidR="007362AE" w:rsidRPr="00AC22E5" w:rsidRDefault="007362AE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line="360" w:lineRule="auto"/>
                                <w:rPr>
                                  <w:rFonts w:ascii="TitilliumText Regular" w:hAnsi="TitilliumText Regular"/>
                                </w:rPr>
                              </w:pPr>
                              <w:r w:rsidRPr="00AC22E5">
                                <w:rPr>
                                  <w:rFonts w:ascii="TitilliumText Regular" w:hAnsi="TitilliumText Regular" w:cs="Arial"/>
                                </w:rPr>
                                <w:t>Ergebnis und Gültigkeit der Verträglichkeitsprobe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541" y="946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62AE" w:rsidRDefault="007362A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541" y="982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62AE" w:rsidRDefault="007362A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541" y="1054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62AE" w:rsidRDefault="007362A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541" y="1121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62AE" w:rsidRDefault="007362A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541" y="1157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62AE" w:rsidRDefault="007362A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541" y="1193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62AE" w:rsidRDefault="007362A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478" y="13038"/>
                            <a:ext cx="2880" cy="7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62AE" w:rsidRPr="00AC22E5" w:rsidRDefault="007362AE">
                              <w:pPr>
                                <w:rPr>
                                  <w:rFonts w:ascii="TitilliumText Regular" w:hAnsi="TitilliumText Regular" w:cs="Arial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AC22E5">
                                <w:rPr>
                                  <w:rFonts w:ascii="TitilliumText Regular" w:hAnsi="TitilliumText Regular" w:cs="Arial"/>
                                  <w:sz w:val="22"/>
                                  <w:szCs w:val="22"/>
                                  <w:lang w:val="en-GB"/>
                                </w:rPr>
                                <w:t xml:space="preserve">Bedside-Test </w:t>
                              </w:r>
                            </w:p>
                            <w:p w:rsidR="007362AE" w:rsidRPr="00AC22E5" w:rsidRDefault="007362AE">
                              <w:pPr>
                                <w:pStyle w:val="Funotentext"/>
                                <w:spacing w:line="240" w:lineRule="auto"/>
                                <w:rPr>
                                  <w:rFonts w:ascii="TitilliumText Regular" w:hAnsi="TitilliumText Regular" w:cs="Arial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AC22E5">
                                <w:rPr>
                                  <w:rFonts w:ascii="TitilliumText Regular" w:hAnsi="TitilliumText Regular" w:cs="Arial"/>
                                  <w:sz w:val="22"/>
                                  <w:szCs w:val="22"/>
                                  <w:lang w:val="en-GB"/>
                                </w:rPr>
                                <w:t xml:space="preserve">(Patient)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921" y="1337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62AE" w:rsidRDefault="007362A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018" y="14658"/>
                            <a:ext cx="16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62AE" w:rsidRDefault="007362AE">
                              <w:pPr>
                                <w:pStyle w:val="Funotentext"/>
                                <w:spacing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AC22E5">
                                <w:rPr>
                                  <w:rFonts w:ascii="TitilliumText Regular" w:hAnsi="TitilliumText Regular" w:cs="Arial"/>
                                </w:rPr>
                                <w:t xml:space="preserve">Kompatibel  </w:t>
                              </w:r>
                              <w:r w:rsidR="00857FF2">
                                <w:rPr>
                                  <w:rFonts w:ascii="Arial" w:hAnsi="Arial" w:cs="Arial"/>
                                  <w:noProof/>
                                </w:rPr>
                                <w:drawing>
                                  <wp:inline distT="0" distB="0" distL="0" distR="0">
                                    <wp:extent cx="123825" cy="123825"/>
                                    <wp:effectExtent l="0" t="0" r="9525" b="9525"/>
                                    <wp:docPr id="3" name="Bild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658" y="15558"/>
                            <a:ext cx="23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62AE" w:rsidRPr="001772ED" w:rsidRDefault="007362AE">
                              <w:pPr>
                                <w:pStyle w:val="berschrift3"/>
                                <w:rPr>
                                  <w:rFonts w:ascii="TitilliumText Bold" w:hAnsi="TitilliumText Bold" w:cs="Arial"/>
                                  <w:b w:val="0"/>
                                  <w:sz w:val="22"/>
                                  <w:szCs w:val="22"/>
                                </w:rPr>
                              </w:pPr>
                              <w:r w:rsidRPr="001772ED">
                                <w:rPr>
                                  <w:rFonts w:ascii="TitilliumText Bold" w:hAnsi="TitilliumText Bold" w:cs="Arial"/>
                                  <w:b w:val="0"/>
                                  <w:sz w:val="22"/>
                                  <w:szCs w:val="22"/>
                                </w:rPr>
                                <w:t>Transfusion 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1"/>
                        <wps:cNvCnPr/>
                        <wps:spPr bwMode="auto">
                          <a:xfrm>
                            <a:off x="5841" y="3678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2"/>
                        <wps:cNvCnPr/>
                        <wps:spPr bwMode="auto">
                          <a:xfrm>
                            <a:off x="5841" y="511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3"/>
                        <wps:cNvCnPr/>
                        <wps:spPr bwMode="auto">
                          <a:xfrm>
                            <a:off x="5841" y="658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4"/>
                        <wps:cNvCnPr/>
                        <wps:spPr bwMode="auto">
                          <a:xfrm>
                            <a:off x="5841" y="835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5"/>
                        <wps:cNvCnPr/>
                        <wps:spPr bwMode="auto">
                          <a:xfrm>
                            <a:off x="5841" y="1249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6"/>
                        <wps:cNvCnPr/>
                        <wps:spPr bwMode="auto">
                          <a:xfrm>
                            <a:off x="5841" y="1519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7"/>
                        <wps:cNvCnPr/>
                        <wps:spPr bwMode="auto">
                          <a:xfrm>
                            <a:off x="5841" y="1378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9.15pt;margin-top:7pt;width:324pt;height:657pt;z-index:251657728" coordorigin="2498,2958" coordsize="6480,13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658;top:2958;width:23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7362AE" w:rsidRPr="00AC22E5" w:rsidRDefault="007362AE">
                        <w:pPr>
                          <w:pStyle w:val="berschrift1"/>
                          <w:jc w:val="center"/>
                          <w:rPr>
                            <w:rFonts w:ascii="TitilliumText Bold" w:hAnsi="TitilliumText Bold"/>
                            <w:b w:val="0"/>
                            <w:sz w:val="22"/>
                            <w:szCs w:val="22"/>
                          </w:rPr>
                        </w:pPr>
                        <w:r w:rsidRPr="00AC22E5">
                          <w:rPr>
                            <w:rFonts w:ascii="TitilliumText Bold" w:hAnsi="TitilliumText Bold"/>
                            <w:b w:val="0"/>
                            <w:sz w:val="22"/>
                            <w:szCs w:val="22"/>
                          </w:rPr>
                          <w:t>Anlieferung des EK</w:t>
                        </w:r>
                      </w:p>
                    </w:txbxContent>
                  </v:textbox>
                </v:shape>
                <v:shape id="Text Box 4" o:spid="_x0000_s1028" type="#_x0000_t202" style="position:absolute;left:4658;top:4398;width:23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7362AE" w:rsidRPr="00AC22E5" w:rsidRDefault="007362AE">
                        <w:pPr>
                          <w:rPr>
                            <w:rFonts w:ascii="TitilliumText Regular" w:hAnsi="TitilliumText Regular" w:cs="Arial"/>
                            <w:sz w:val="22"/>
                            <w:szCs w:val="22"/>
                          </w:rPr>
                        </w:pPr>
                        <w:r w:rsidRPr="00AC22E5">
                          <w:rPr>
                            <w:rFonts w:ascii="TitilliumText Regular" w:hAnsi="TitilliumText Regular" w:cs="Arial"/>
                            <w:sz w:val="22"/>
                            <w:szCs w:val="22"/>
                          </w:rPr>
                          <w:t>Kontrolle der</w:t>
                        </w:r>
                      </w:p>
                      <w:p w:rsidR="007362AE" w:rsidRPr="00AC22E5" w:rsidRDefault="007362AE">
                        <w:pPr>
                          <w:rPr>
                            <w:rFonts w:ascii="TitilliumText Regular" w:hAnsi="TitilliumText Regular"/>
                            <w:sz w:val="22"/>
                            <w:szCs w:val="22"/>
                          </w:rPr>
                        </w:pPr>
                        <w:r w:rsidRPr="00AC22E5">
                          <w:rPr>
                            <w:rFonts w:ascii="TitilliumText Regular" w:hAnsi="TitilliumText Regular" w:cs="Arial"/>
                            <w:sz w:val="22"/>
                            <w:szCs w:val="22"/>
                          </w:rPr>
                          <w:t>Begleitpapiere</w:t>
                        </w:r>
                      </w:p>
                    </w:txbxContent>
                  </v:textbox>
                </v:shape>
                <v:shape id="Text Box 5" o:spid="_x0000_s1029" type="#_x0000_t202" style="position:absolute;left:6638;top:475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7362AE" w:rsidRDefault="007362AE"/>
                    </w:txbxContent>
                  </v:textbox>
                </v:shape>
                <v:shape id="Text Box 6" o:spid="_x0000_s1030" type="#_x0000_t202" style="position:absolute;left:4658;top:5658;width:2340;height:9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7362AE" w:rsidRPr="00AC22E5" w:rsidRDefault="007362AE">
                        <w:pPr>
                          <w:rPr>
                            <w:rFonts w:ascii="TitilliumText Regular" w:hAnsi="TitilliumText Regular" w:cs="Arial"/>
                            <w:sz w:val="22"/>
                            <w:szCs w:val="22"/>
                          </w:rPr>
                        </w:pPr>
                        <w:r w:rsidRPr="00AC22E5">
                          <w:rPr>
                            <w:rFonts w:ascii="TitilliumText Regular" w:hAnsi="TitilliumText Regular" w:cs="Arial"/>
                            <w:sz w:val="22"/>
                            <w:szCs w:val="22"/>
                          </w:rPr>
                          <w:t>Patienten-Identität</w:t>
                        </w:r>
                      </w:p>
                      <w:p w:rsidR="007362AE" w:rsidRPr="00AC22E5" w:rsidRDefault="007362AE">
                        <w:pPr>
                          <w:rPr>
                            <w:rFonts w:ascii="TitilliumText Regular" w:hAnsi="TitilliumText Regular" w:cs="Arial"/>
                            <w:sz w:val="22"/>
                            <w:szCs w:val="22"/>
                          </w:rPr>
                        </w:pPr>
                        <w:r w:rsidRPr="00AC22E5">
                          <w:rPr>
                            <w:rFonts w:ascii="TitilliumText Regular" w:hAnsi="TitilliumText Regular" w:cs="Arial"/>
                            <w:sz w:val="22"/>
                            <w:szCs w:val="22"/>
                          </w:rPr>
                          <w:t>sichern</w:t>
                        </w:r>
                      </w:p>
                    </w:txbxContent>
                  </v:textbox>
                </v:shape>
                <v:shape id="Text Box 7" o:spid="_x0000_s1031" type="#_x0000_t202" style="position:absolute;left:6561;top:604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7362AE" w:rsidRDefault="007362AE"/>
                    </w:txbxContent>
                  </v:textbox>
                </v:shape>
                <v:shape id="Text Box 8" o:spid="_x0000_s1032" type="#_x0000_t202" style="position:absolute;left:3758;top:7098;width:414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7362AE" w:rsidRPr="00AC22E5" w:rsidRDefault="007362AE">
                        <w:pPr>
                          <w:rPr>
                            <w:rFonts w:ascii="TitilliumText Regular" w:hAnsi="TitilliumText Regular" w:cs="Arial"/>
                            <w:sz w:val="22"/>
                            <w:szCs w:val="22"/>
                          </w:rPr>
                        </w:pPr>
                        <w:r w:rsidRPr="00AC22E5">
                          <w:rPr>
                            <w:rFonts w:ascii="TitilliumText Regular" w:hAnsi="TitilliumText Regular" w:cs="Arial"/>
                            <w:sz w:val="22"/>
                            <w:szCs w:val="22"/>
                          </w:rPr>
                          <w:t xml:space="preserve">Schriftliche Dokumentation der Aufklärung und des </w:t>
                        </w:r>
                      </w:p>
                      <w:p w:rsidR="007362AE" w:rsidRPr="00AC22E5" w:rsidRDefault="007362AE">
                        <w:pPr>
                          <w:rPr>
                            <w:rFonts w:ascii="TitilliumText Regular" w:hAnsi="TitilliumText Regular" w:cs="Arial"/>
                            <w:sz w:val="22"/>
                            <w:szCs w:val="22"/>
                          </w:rPr>
                        </w:pPr>
                        <w:r w:rsidRPr="00AC22E5">
                          <w:rPr>
                            <w:rFonts w:ascii="TitilliumText Regular" w:hAnsi="TitilliumText Regular" w:cs="Arial"/>
                            <w:sz w:val="22"/>
                            <w:szCs w:val="22"/>
                          </w:rPr>
                          <w:t xml:space="preserve">Einverständnisses des </w:t>
                        </w:r>
                      </w:p>
                      <w:p w:rsidR="007362AE" w:rsidRPr="00AC22E5" w:rsidRDefault="007362AE">
                        <w:pPr>
                          <w:rPr>
                            <w:rFonts w:ascii="TitilliumText Regular" w:hAnsi="TitilliumText Regular" w:cs="Arial"/>
                            <w:sz w:val="22"/>
                            <w:szCs w:val="22"/>
                          </w:rPr>
                        </w:pPr>
                        <w:r w:rsidRPr="00AC22E5">
                          <w:rPr>
                            <w:rFonts w:ascii="TitilliumText Regular" w:hAnsi="TitilliumText Regular" w:cs="Arial"/>
                            <w:sz w:val="22"/>
                            <w:szCs w:val="22"/>
                          </w:rPr>
                          <w:t>Patienten</w:t>
                        </w:r>
                      </w:p>
                    </w:txbxContent>
                  </v:textbox>
                </v:shape>
                <v:shape id="Text Box 9" o:spid="_x0000_s1033" type="#_x0000_t202" style="position:absolute;left:7281;top:779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7362AE" w:rsidRDefault="007362AE"/>
                    </w:txbxContent>
                  </v:textbox>
                </v:shape>
                <v:shape id="Text Box 10" o:spid="_x0000_s1034" type="#_x0000_t202" style="position:absolute;left:2498;top:8898;width:6480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7362AE" w:rsidRPr="00AC22E5" w:rsidRDefault="007362AE" w:rsidP="00BE5457">
                        <w:pPr>
                          <w:autoSpaceDE w:val="0"/>
                          <w:spacing w:line="360" w:lineRule="auto"/>
                          <w:rPr>
                            <w:rFonts w:ascii="TitilliumText Regular" w:hAnsi="TitilliumText Regular" w:cs="Arial"/>
                            <w:u w:val="single"/>
                          </w:rPr>
                        </w:pPr>
                        <w:r w:rsidRPr="00AC22E5">
                          <w:rPr>
                            <w:rFonts w:ascii="TitilliumText Regular" w:hAnsi="TitilliumText Regular" w:cs="Arial"/>
                            <w:u w:val="single"/>
                          </w:rPr>
                          <w:t>Überprüfung und Dokumentation am Patienten:</w:t>
                        </w:r>
                      </w:p>
                      <w:p w:rsidR="007362AE" w:rsidRPr="00AC22E5" w:rsidRDefault="007362AE">
                        <w:pPr>
                          <w:numPr>
                            <w:ilvl w:val="0"/>
                            <w:numId w:val="4"/>
                          </w:numPr>
                          <w:spacing w:line="360" w:lineRule="auto"/>
                          <w:rPr>
                            <w:rFonts w:ascii="TitilliumText Regular" w:hAnsi="TitilliumText Regular" w:cs="Arial"/>
                          </w:rPr>
                        </w:pPr>
                        <w:r w:rsidRPr="00AC22E5">
                          <w:rPr>
                            <w:rFonts w:ascii="TitilliumText Regular" w:hAnsi="TitilliumText Regular" w:cs="Arial"/>
                          </w:rPr>
                          <w:t>Zuordnung EK - Begleitschein - Patient</w:t>
                        </w:r>
                      </w:p>
                      <w:p w:rsidR="007362AE" w:rsidRPr="00AC22E5" w:rsidRDefault="007362AE">
                        <w:pPr>
                          <w:numPr>
                            <w:ilvl w:val="0"/>
                            <w:numId w:val="4"/>
                          </w:numPr>
                          <w:spacing w:line="360" w:lineRule="auto"/>
                          <w:rPr>
                            <w:rFonts w:ascii="TitilliumText Regular" w:hAnsi="TitilliumText Regular" w:cs="Arial"/>
                          </w:rPr>
                        </w:pPr>
                        <w:r w:rsidRPr="00AC22E5">
                          <w:rPr>
                            <w:rFonts w:ascii="TitilliumText Regular" w:hAnsi="TitilliumText Regular" w:cs="Arial"/>
                          </w:rPr>
                          <w:t>Blutgruppe EK und Blutgruppe Patient gleich bzw.</w:t>
                        </w:r>
                      </w:p>
                      <w:p w:rsidR="007362AE" w:rsidRPr="00AC22E5" w:rsidRDefault="007362AE">
                        <w:pPr>
                          <w:spacing w:line="360" w:lineRule="auto"/>
                          <w:ind w:firstLine="708"/>
                          <w:rPr>
                            <w:rFonts w:ascii="TitilliumText Regular" w:hAnsi="TitilliumText Regular" w:cs="Arial"/>
                          </w:rPr>
                        </w:pPr>
                        <w:r w:rsidRPr="00AC22E5">
                          <w:rPr>
                            <w:rFonts w:ascii="TitilliumText Regular" w:hAnsi="TitilliumText Regular" w:cs="Arial"/>
                          </w:rPr>
                          <w:t>kompatibel</w:t>
                        </w:r>
                      </w:p>
                      <w:p w:rsidR="007362AE" w:rsidRPr="00AC22E5" w:rsidRDefault="007362AE">
                        <w:pPr>
                          <w:numPr>
                            <w:ilvl w:val="0"/>
                            <w:numId w:val="4"/>
                          </w:numPr>
                          <w:spacing w:line="360" w:lineRule="auto"/>
                          <w:rPr>
                            <w:rFonts w:ascii="TitilliumText Regular" w:hAnsi="TitilliumText Regular" w:cs="Arial"/>
                          </w:rPr>
                        </w:pPr>
                        <w:r w:rsidRPr="00AC22E5">
                          <w:rPr>
                            <w:rFonts w:ascii="TitilliumText Regular" w:hAnsi="TitilliumText Regular" w:cs="Arial"/>
                          </w:rPr>
                          <w:t>gleichlautende Nummern auf EK-Etikett und</w:t>
                        </w:r>
                      </w:p>
                      <w:p w:rsidR="007362AE" w:rsidRPr="00AC22E5" w:rsidRDefault="007362AE">
                        <w:pPr>
                          <w:spacing w:line="360" w:lineRule="auto"/>
                          <w:ind w:firstLine="708"/>
                          <w:rPr>
                            <w:rFonts w:ascii="TitilliumText Regular" w:hAnsi="TitilliumText Regular" w:cs="Arial"/>
                          </w:rPr>
                        </w:pPr>
                        <w:r w:rsidRPr="00AC22E5">
                          <w:rPr>
                            <w:rFonts w:ascii="TitilliumText Regular" w:hAnsi="TitilliumText Regular" w:cs="Arial"/>
                          </w:rPr>
                          <w:t>Begleitschein</w:t>
                        </w:r>
                      </w:p>
                      <w:p w:rsidR="007362AE" w:rsidRPr="00AC22E5" w:rsidRDefault="007362AE" w:rsidP="00AC22E5">
                        <w:pPr>
                          <w:numPr>
                            <w:ilvl w:val="0"/>
                            <w:numId w:val="4"/>
                          </w:numPr>
                          <w:spacing w:line="360" w:lineRule="auto"/>
                          <w:rPr>
                            <w:rFonts w:ascii="TitilliumText Regular" w:hAnsi="TitilliumText Regular" w:cs="Arial"/>
                          </w:rPr>
                        </w:pPr>
                        <w:r w:rsidRPr="00AC22E5">
                          <w:rPr>
                            <w:rFonts w:ascii="TitilliumText Regular" w:hAnsi="TitilliumText Regular" w:cs="Arial"/>
                          </w:rPr>
                          <w:t>Ve</w:t>
                        </w:r>
                        <w:r w:rsidR="00AC22E5">
                          <w:rPr>
                            <w:rFonts w:ascii="TitilliumText Regular" w:hAnsi="TitilliumText Regular" w:cs="Arial"/>
                          </w:rPr>
                          <w:t>rfallsdatum nicht überschritten</w:t>
                        </w:r>
                      </w:p>
                      <w:p w:rsidR="007362AE" w:rsidRPr="00AC22E5" w:rsidRDefault="007362AE">
                        <w:pPr>
                          <w:numPr>
                            <w:ilvl w:val="0"/>
                            <w:numId w:val="4"/>
                          </w:numPr>
                          <w:spacing w:line="360" w:lineRule="auto"/>
                          <w:rPr>
                            <w:rFonts w:ascii="TitilliumText Regular" w:hAnsi="TitilliumText Regular"/>
                          </w:rPr>
                        </w:pPr>
                        <w:r w:rsidRPr="00AC22E5">
                          <w:rPr>
                            <w:rFonts w:ascii="TitilliumText Regular" w:hAnsi="TitilliumText Regular" w:cs="Arial"/>
                          </w:rPr>
                          <w:t>Sichtkontrolle der EK auf Unversehrtheit, Hämolyse</w:t>
                        </w:r>
                      </w:p>
                      <w:p w:rsidR="007362AE" w:rsidRPr="00AC22E5" w:rsidRDefault="007362AE">
                        <w:pPr>
                          <w:numPr>
                            <w:ilvl w:val="0"/>
                            <w:numId w:val="4"/>
                          </w:numPr>
                          <w:spacing w:line="360" w:lineRule="auto"/>
                          <w:rPr>
                            <w:rFonts w:ascii="TitilliumText Regular" w:hAnsi="TitilliumText Regular"/>
                          </w:rPr>
                        </w:pPr>
                        <w:r w:rsidRPr="00AC22E5">
                          <w:rPr>
                            <w:rFonts w:ascii="TitilliumText Regular" w:hAnsi="TitilliumText Regular" w:cs="Arial"/>
                          </w:rPr>
                          <w:t>Ergebnis und Gültigkeit der Verträglichkeitsprobe</w:t>
                        </w:r>
                      </w:p>
                    </w:txbxContent>
                  </v:textbox>
                </v:shape>
                <v:shape id="Text Box 11" o:spid="_x0000_s1035" type="#_x0000_t202" style="position:absolute;left:8541;top:946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7362AE" w:rsidRDefault="007362AE"/>
                    </w:txbxContent>
                  </v:textbox>
                </v:shape>
                <v:shape id="Text Box 12" o:spid="_x0000_s1036" type="#_x0000_t202" style="position:absolute;left:8541;top:982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<v:textbox>
                    <w:txbxContent>
                      <w:p w:rsidR="007362AE" w:rsidRDefault="007362AE"/>
                    </w:txbxContent>
                  </v:textbox>
                </v:shape>
                <v:shape id="Text Box 13" o:spid="_x0000_s1037" type="#_x0000_t202" style="position:absolute;left:8541;top:1054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:rsidR="007362AE" w:rsidRDefault="007362AE"/>
                    </w:txbxContent>
                  </v:textbox>
                </v:shape>
                <v:shape id="Text Box 14" o:spid="_x0000_s1038" type="#_x0000_t202" style="position:absolute;left:8541;top:1121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:rsidR="007362AE" w:rsidRDefault="007362AE"/>
                    </w:txbxContent>
                  </v:textbox>
                </v:shape>
                <v:shape id="Text Box 15" o:spid="_x0000_s1039" type="#_x0000_t202" style="position:absolute;left:8541;top:1157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:rsidR="007362AE" w:rsidRDefault="007362AE"/>
                    </w:txbxContent>
                  </v:textbox>
                </v:shape>
                <v:shape id="Text Box 16" o:spid="_x0000_s1040" type="#_x0000_t202" style="position:absolute;left:8541;top:1193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:rsidR="007362AE" w:rsidRDefault="007362AE"/>
                    </w:txbxContent>
                  </v:textbox>
                </v:shape>
                <v:shape id="Text Box 17" o:spid="_x0000_s1041" type="#_x0000_t202" style="position:absolute;left:4478;top:13038;width:2880;height: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:rsidR="007362AE" w:rsidRPr="00AC22E5" w:rsidRDefault="007362AE">
                        <w:pPr>
                          <w:rPr>
                            <w:rFonts w:ascii="TitilliumText Regular" w:hAnsi="TitilliumText Regular" w:cs="Arial"/>
                            <w:sz w:val="22"/>
                            <w:szCs w:val="22"/>
                            <w:lang w:val="en-GB"/>
                          </w:rPr>
                        </w:pPr>
                        <w:r w:rsidRPr="00AC22E5">
                          <w:rPr>
                            <w:rFonts w:ascii="TitilliumText Regular" w:hAnsi="TitilliumText Regular" w:cs="Arial"/>
                            <w:sz w:val="22"/>
                            <w:szCs w:val="22"/>
                            <w:lang w:val="en-GB"/>
                          </w:rPr>
                          <w:t xml:space="preserve">Bedside-Test </w:t>
                        </w:r>
                      </w:p>
                      <w:p w:rsidR="007362AE" w:rsidRPr="00AC22E5" w:rsidRDefault="007362AE">
                        <w:pPr>
                          <w:pStyle w:val="Funotentext"/>
                          <w:spacing w:line="240" w:lineRule="auto"/>
                          <w:rPr>
                            <w:rFonts w:ascii="TitilliumText Regular" w:hAnsi="TitilliumText Regular" w:cs="Arial"/>
                            <w:sz w:val="22"/>
                            <w:szCs w:val="22"/>
                            <w:lang w:val="en-GB"/>
                          </w:rPr>
                        </w:pPr>
                        <w:r w:rsidRPr="00AC22E5">
                          <w:rPr>
                            <w:rFonts w:ascii="TitilliumText Regular" w:hAnsi="TitilliumText Regular" w:cs="Arial"/>
                            <w:sz w:val="22"/>
                            <w:szCs w:val="22"/>
                            <w:lang w:val="en-GB"/>
                          </w:rPr>
                          <w:t xml:space="preserve">(Patient) </w:t>
                        </w:r>
                      </w:p>
                    </w:txbxContent>
                  </v:textbox>
                </v:shape>
                <v:shape id="Text Box 18" o:spid="_x0000_s1042" type="#_x0000_t202" style="position:absolute;left:6921;top:1337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<v:textbox>
                    <w:txbxContent>
                      <w:p w:rsidR="007362AE" w:rsidRDefault="007362AE"/>
                    </w:txbxContent>
                  </v:textbox>
                </v:shape>
                <v:shape id="Text Box 19" o:spid="_x0000_s1043" type="#_x0000_t202" style="position:absolute;left:5018;top:14658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:rsidR="007362AE" w:rsidRDefault="007362AE">
                        <w:pPr>
                          <w:pStyle w:val="Funotentext"/>
                          <w:spacing w:line="240" w:lineRule="auto"/>
                          <w:rPr>
                            <w:rFonts w:ascii="Arial" w:hAnsi="Arial" w:cs="Arial"/>
                          </w:rPr>
                        </w:pPr>
                        <w:r w:rsidRPr="00AC22E5">
                          <w:rPr>
                            <w:rFonts w:ascii="TitilliumText Regular" w:hAnsi="TitilliumText Regular" w:cs="Arial"/>
                          </w:rPr>
                          <w:t xml:space="preserve">Kompatibel  </w:t>
                        </w:r>
                        <w:r w:rsidR="00857FF2">
                          <w:rPr>
                            <w:rFonts w:ascii="Arial" w:hAnsi="Arial" w:cs="Arial"/>
                            <w:noProof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" name="Bild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0" o:spid="_x0000_s1044" type="#_x0000_t202" style="position:absolute;left:4658;top:15558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<v:textbox>
                    <w:txbxContent>
                      <w:p w:rsidR="007362AE" w:rsidRPr="001772ED" w:rsidRDefault="007362AE">
                        <w:pPr>
                          <w:pStyle w:val="berschrift3"/>
                          <w:rPr>
                            <w:rFonts w:ascii="TitilliumText Bold" w:hAnsi="TitilliumText Bold" w:cs="Arial"/>
                            <w:b w:val="0"/>
                            <w:sz w:val="22"/>
                            <w:szCs w:val="22"/>
                          </w:rPr>
                        </w:pPr>
                        <w:r w:rsidRPr="001772ED">
                          <w:rPr>
                            <w:rFonts w:ascii="TitilliumText Bold" w:hAnsi="TitilliumText Bold" w:cs="Arial"/>
                            <w:b w:val="0"/>
                            <w:sz w:val="22"/>
                            <w:szCs w:val="22"/>
                          </w:rPr>
                          <w:t>Transfusion !</w:t>
                        </w:r>
                      </w:p>
                    </w:txbxContent>
                  </v:textbox>
                </v:shape>
                <v:line id="Line 21" o:spid="_x0000_s1045" style="position:absolute;visibility:visible;mso-wrap-style:square" from="5841,3678" to="5841,4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    <v:stroke endarrow="block"/>
                </v:line>
                <v:line id="Line 22" o:spid="_x0000_s1046" style="position:absolute;visibility:visible;mso-wrap-style:square" from="5841,5118" to="5841,5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    <v:stroke endarrow="block"/>
                </v:line>
                <v:line id="Line 23" o:spid="_x0000_s1047" style="position:absolute;visibility:visible;mso-wrap-style:square" from="5841,6584" to="5841,7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JhGc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mEZxAAAANsAAAAPAAAAAAAAAAAA&#10;AAAAAKECAABkcnMvZG93bnJldi54bWxQSwUGAAAAAAQABAD5AAAAkgMAAAAA&#10;">
                  <v:stroke endarrow="block"/>
                </v:line>
                <v:line id="Line 24" o:spid="_x0000_s1048" style="position:absolute;visibility:visible;mso-wrap-style:square" from="5841,8358" to="5841,8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    <v:stroke endarrow="block"/>
                </v:line>
                <v:line id="Line 25" o:spid="_x0000_s1049" style="position:absolute;visibility:visible;mso-wrap-style:square" from="5841,12498" to="5841,13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    <v:stroke endarrow="block"/>
                </v:line>
                <v:line id="Line 26" o:spid="_x0000_s1050" style="position:absolute;visibility:visible;mso-wrap-style:square" from="5841,15198" to="5841,15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<v:stroke endarrow="block"/>
                </v:line>
                <v:line id="Line 27" o:spid="_x0000_s1051" style="position:absolute;visibility:visible;mso-wrap-style:square" from="5841,13784" to="5841,14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<v:stroke endarrow="block"/>
                </v:line>
              </v:group>
            </w:pict>
          </mc:Fallback>
        </mc:AlternateContent>
      </w: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noProof/>
          <w:sz w:val="22"/>
          <w:szCs w:val="22"/>
        </w:rPr>
      </w:pPr>
    </w:p>
    <w:p w:rsidR="007362AE" w:rsidRPr="00E75737" w:rsidRDefault="007362AE">
      <w:pPr>
        <w:tabs>
          <w:tab w:val="left" w:pos="3960"/>
          <w:tab w:val="left" w:pos="7920"/>
        </w:tabs>
        <w:rPr>
          <w:rFonts w:ascii="TitilliumText Regular" w:hAnsi="TitilliumText Regular"/>
          <w:sz w:val="22"/>
          <w:szCs w:val="22"/>
        </w:rPr>
      </w:pPr>
    </w:p>
    <w:sectPr w:rsidR="007362AE" w:rsidRPr="00E75737" w:rsidSect="00091273">
      <w:headerReference w:type="default" r:id="rId11"/>
      <w:footerReference w:type="default" r:id="rId12"/>
      <w:pgSz w:w="11906" w:h="16838" w:code="9"/>
      <w:pgMar w:top="1418" w:right="1418" w:bottom="1134" w:left="1418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907" w:rsidRDefault="00FE2907">
      <w:r>
        <w:separator/>
      </w:r>
    </w:p>
  </w:endnote>
  <w:endnote w:type="continuationSeparator" w:id="0">
    <w:p w:rsidR="00FE2907" w:rsidRDefault="00FE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Text Regular">
    <w:panose1 w:val="02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TitilliumText Bold">
    <w:panose1 w:val="02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4F4" w:rsidRDefault="008A44F4" w:rsidP="008A44F4">
    <w:pPr>
      <w:pStyle w:val="Kopfzeile"/>
      <w:jc w:val="right"/>
    </w:pPr>
    <w:r>
      <w:rPr>
        <w:rFonts w:ascii="Arial" w:hAnsi="Arial" w:cs="Arial"/>
        <w:sz w:val="18"/>
      </w:rPr>
      <w:t xml:space="preserve">Seite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</w:instrText>
    </w:r>
    <w:r>
      <w:rPr>
        <w:rFonts w:ascii="Arial" w:hAnsi="Arial" w:cs="Arial"/>
        <w:sz w:val="18"/>
      </w:rPr>
      <w:fldChar w:fldCharType="separate"/>
    </w:r>
    <w:r w:rsidR="009A672D">
      <w:rPr>
        <w:rFonts w:ascii="Arial" w:hAnsi="Arial" w:cs="Arial"/>
        <w:noProof/>
        <w:sz w:val="18"/>
      </w:rPr>
      <w:t>4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von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NUMPAGES </w:instrText>
    </w:r>
    <w:r>
      <w:rPr>
        <w:rFonts w:ascii="Arial" w:hAnsi="Arial" w:cs="Arial"/>
        <w:sz w:val="18"/>
      </w:rPr>
      <w:fldChar w:fldCharType="separate"/>
    </w:r>
    <w:r w:rsidR="009A672D">
      <w:rPr>
        <w:rFonts w:ascii="Arial" w:hAnsi="Arial" w:cs="Arial"/>
        <w:noProof/>
        <w:sz w:val="18"/>
      </w:rPr>
      <w:t>8</w:t>
    </w:r>
    <w:r>
      <w:rPr>
        <w:rFonts w:ascii="Arial" w:hAnsi="Arial" w:cs="Arial"/>
        <w:sz w:val="18"/>
      </w:rPr>
      <w:fldChar w:fldCharType="end"/>
    </w:r>
  </w:p>
  <w:p w:rsidR="008A44F4" w:rsidRDefault="008A44F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907" w:rsidRDefault="00FE2907">
      <w:r>
        <w:separator/>
      </w:r>
    </w:p>
  </w:footnote>
  <w:footnote w:type="continuationSeparator" w:id="0">
    <w:p w:rsidR="00FE2907" w:rsidRDefault="00FE2907">
      <w:r>
        <w:continuationSeparator/>
      </w:r>
    </w:p>
  </w:footnote>
  <w:footnote w:id="1">
    <w:p w:rsidR="007362AE" w:rsidRDefault="00BE5457" w:rsidP="00BE5457">
      <w:pPr>
        <w:pStyle w:val="Fuzeile"/>
        <w:autoSpaceDE w:val="0"/>
        <w:rPr>
          <w:rFonts w:ascii="Arial" w:hAnsi="Arial" w:cs="Arial"/>
          <w:i/>
          <w:iCs/>
          <w:sz w:val="16"/>
        </w:rPr>
      </w:pPr>
      <w:r>
        <w:rPr>
          <w:rFonts w:ascii="ZWAdobeF" w:hAnsi="ZWAdobeF" w:cs="Arial"/>
          <w:iCs/>
          <w:sz w:val="2"/>
        </w:rPr>
        <w:t>T</w:t>
      </w:r>
      <w:r w:rsidR="007362AE">
        <w:rPr>
          <w:rStyle w:val="Funotenzeichen"/>
          <w:rFonts w:ascii="Arial" w:hAnsi="Arial" w:cs="Arial"/>
          <w:i/>
          <w:iCs/>
        </w:rPr>
        <w:footnoteRef/>
      </w:r>
      <w:r>
        <w:rPr>
          <w:rFonts w:ascii="ZWAdobeF" w:hAnsi="ZWAdobeF" w:cs="Arial"/>
          <w:iCs/>
          <w:sz w:val="2"/>
        </w:rPr>
        <w:t>T</w:t>
      </w:r>
      <w:r w:rsidR="007362AE">
        <w:rPr>
          <w:rFonts w:ascii="Arial" w:hAnsi="Arial" w:cs="Arial"/>
          <w:i/>
          <w:iCs/>
          <w:sz w:val="16"/>
        </w:rPr>
        <w:t xml:space="preserve"> vom Vorstand der Bundesärztekammer am 16.12.2005 verabschiedet</w:t>
      </w:r>
    </w:p>
  </w:footnote>
  <w:footnote w:id="2">
    <w:p w:rsidR="007362AE" w:rsidRDefault="00BE5457" w:rsidP="00BE5457">
      <w:pPr>
        <w:pStyle w:val="Fuzeile"/>
        <w:autoSpaceDE w:val="0"/>
        <w:rPr>
          <w:rFonts w:ascii="Arial" w:hAnsi="Arial" w:cs="Arial"/>
          <w:i/>
          <w:iCs/>
          <w:sz w:val="16"/>
        </w:rPr>
      </w:pPr>
      <w:r>
        <w:rPr>
          <w:rFonts w:ascii="ZWAdobeF" w:hAnsi="ZWAdobeF" w:cs="Arial"/>
          <w:sz w:val="2"/>
        </w:rPr>
        <w:t>T</w:t>
      </w:r>
      <w:r w:rsidR="007362AE">
        <w:rPr>
          <w:rStyle w:val="Funotenzeichen"/>
          <w:rFonts w:ascii="Arial" w:hAnsi="Arial" w:cs="Arial"/>
        </w:rPr>
        <w:footnoteRef/>
      </w:r>
      <w:r>
        <w:rPr>
          <w:rFonts w:ascii="ZWAdobeF" w:hAnsi="ZWAdobeF" w:cs="Arial"/>
          <w:sz w:val="2"/>
        </w:rPr>
        <w:t>T</w:t>
      </w:r>
      <w:r w:rsidR="007362AE">
        <w:rPr>
          <w:rFonts w:ascii="Arial" w:hAnsi="Arial" w:cs="Arial"/>
          <w:sz w:val="16"/>
        </w:rPr>
        <w:t xml:space="preserve"> </w:t>
      </w:r>
      <w:r w:rsidR="007362AE">
        <w:rPr>
          <w:rFonts w:ascii="Arial" w:hAnsi="Arial" w:cs="Arial"/>
          <w:i/>
          <w:iCs/>
          <w:sz w:val="16"/>
        </w:rPr>
        <w:t>in der vom Vorstand der Bundesärztekammer am 1</w:t>
      </w:r>
      <w:r w:rsidR="00AE0DF6">
        <w:rPr>
          <w:rFonts w:ascii="Arial" w:hAnsi="Arial" w:cs="Arial"/>
          <w:i/>
          <w:iCs/>
          <w:sz w:val="16"/>
        </w:rPr>
        <w:t>6.04.2010</w:t>
      </w:r>
      <w:r w:rsidR="007362AE">
        <w:rPr>
          <w:rFonts w:ascii="Arial" w:hAnsi="Arial" w:cs="Arial"/>
          <w:i/>
          <w:iCs/>
          <w:sz w:val="16"/>
        </w:rPr>
        <w:t xml:space="preserve"> verabschiedeten Fassung  (Gesamtnovelle 2005</w:t>
      </w:r>
      <w:r w:rsidR="001C39E2">
        <w:rPr>
          <w:rFonts w:ascii="Arial" w:hAnsi="Arial" w:cs="Arial"/>
          <w:i/>
          <w:iCs/>
          <w:sz w:val="16"/>
        </w:rPr>
        <w:t xml:space="preserve"> mit Richt</w:t>
      </w:r>
      <w:r w:rsidR="00B4615E">
        <w:rPr>
          <w:rFonts w:ascii="Arial" w:hAnsi="Arial" w:cs="Arial"/>
          <w:i/>
          <w:iCs/>
          <w:sz w:val="16"/>
        </w:rPr>
        <w:t>-</w:t>
      </w:r>
      <w:proofErr w:type="spellStart"/>
      <w:r w:rsidR="001C39E2">
        <w:rPr>
          <w:rFonts w:ascii="Arial" w:hAnsi="Arial" w:cs="Arial"/>
          <w:i/>
          <w:iCs/>
          <w:sz w:val="16"/>
        </w:rPr>
        <w:t>linienanpassung</w:t>
      </w:r>
      <w:proofErr w:type="spellEnd"/>
      <w:r w:rsidR="001C39E2">
        <w:rPr>
          <w:rFonts w:ascii="Arial" w:hAnsi="Arial" w:cs="Arial"/>
          <w:i/>
          <w:iCs/>
          <w:sz w:val="16"/>
        </w:rPr>
        <w:t xml:space="preserve"> 2010</w:t>
      </w:r>
      <w:r w:rsidR="007362AE">
        <w:rPr>
          <w:rFonts w:ascii="Arial" w:hAnsi="Arial" w:cs="Arial"/>
          <w:i/>
          <w:iCs/>
          <w:sz w:val="16"/>
        </w:rPr>
        <w:t>, Bundesanze</w:t>
      </w:r>
      <w:r w:rsidR="007362AE">
        <w:rPr>
          <w:rFonts w:ascii="Arial" w:hAnsi="Arial" w:cs="Arial"/>
          <w:i/>
          <w:iCs/>
          <w:sz w:val="16"/>
        </w:rPr>
        <w:t>i</w:t>
      </w:r>
      <w:r w:rsidR="007362AE">
        <w:rPr>
          <w:rFonts w:ascii="Arial" w:hAnsi="Arial" w:cs="Arial"/>
          <w:i/>
          <w:iCs/>
          <w:sz w:val="16"/>
        </w:rPr>
        <w:t xml:space="preserve">ger </w:t>
      </w:r>
      <w:r w:rsidR="001C39E2">
        <w:rPr>
          <w:rFonts w:ascii="Arial" w:hAnsi="Arial" w:cs="Arial"/>
          <w:i/>
          <w:iCs/>
          <w:sz w:val="16"/>
        </w:rPr>
        <w:t>101a vom 09.07.2010,</w:t>
      </w:r>
      <w:r w:rsidR="007362AE">
        <w:rPr>
          <w:rFonts w:ascii="Arial" w:hAnsi="Arial" w:cs="Arial"/>
          <w:i/>
          <w:iCs/>
          <w:sz w:val="16"/>
        </w:rPr>
        <w:t xml:space="preserve">, Broschüre Deutscher Ärzteverlag ISBN </w:t>
      </w:r>
      <w:r w:rsidR="00B4615E">
        <w:rPr>
          <w:rFonts w:ascii="Arial" w:hAnsi="Arial" w:cs="Arial"/>
          <w:i/>
          <w:iCs/>
          <w:sz w:val="16"/>
        </w:rPr>
        <w:t>978-3-7691-1294-8</w:t>
      </w:r>
    </w:p>
    <w:p w:rsidR="007362AE" w:rsidRDefault="007362AE">
      <w:pPr>
        <w:pStyle w:val="Funotentext"/>
      </w:pPr>
    </w:p>
  </w:footnote>
  <w:footnote w:id="3">
    <w:p w:rsidR="007362AE" w:rsidRDefault="00BE5457" w:rsidP="00BE5457">
      <w:pPr>
        <w:pStyle w:val="Funotentext"/>
        <w:autoSpaceDE w:val="0"/>
        <w:rPr>
          <w:rFonts w:ascii="Arial" w:hAnsi="Arial" w:cs="Arial"/>
          <w:i/>
          <w:iCs/>
          <w:sz w:val="16"/>
        </w:rPr>
      </w:pPr>
      <w:r>
        <w:rPr>
          <w:rFonts w:ascii="ZWAdobeF" w:hAnsi="ZWAdobeF" w:cs="Arial"/>
          <w:iCs/>
          <w:sz w:val="2"/>
        </w:rPr>
        <w:t>T</w:t>
      </w:r>
      <w:r w:rsidR="007362AE">
        <w:rPr>
          <w:rStyle w:val="Funotenzeichen"/>
          <w:rFonts w:ascii="Arial" w:hAnsi="Arial" w:cs="Arial"/>
          <w:i/>
          <w:iCs/>
          <w:sz w:val="14"/>
        </w:rPr>
        <w:footnoteRef/>
      </w:r>
      <w:r>
        <w:rPr>
          <w:rFonts w:ascii="ZWAdobeF" w:hAnsi="ZWAdobeF" w:cs="Arial"/>
          <w:iCs/>
          <w:sz w:val="2"/>
        </w:rPr>
        <w:t>T</w:t>
      </w:r>
      <w:r w:rsidR="007362AE">
        <w:rPr>
          <w:rFonts w:ascii="Arial" w:hAnsi="Arial" w:cs="Arial"/>
          <w:i/>
          <w:iCs/>
          <w:sz w:val="16"/>
        </w:rPr>
        <w:t xml:space="preserve"> Ansprechpartner siehe unter Punkt 10 </w:t>
      </w:r>
    </w:p>
  </w:footnote>
  <w:footnote w:id="4">
    <w:p w:rsidR="007362AE" w:rsidRDefault="00BE5457" w:rsidP="00BE5457">
      <w:pPr>
        <w:pStyle w:val="Funotentext"/>
        <w:autoSpaceDE w:val="0"/>
        <w:spacing w:line="240" w:lineRule="auto"/>
        <w:ind w:left="142" w:hanging="142"/>
        <w:jc w:val="both"/>
        <w:rPr>
          <w:rFonts w:ascii="Arial" w:hAnsi="Arial"/>
          <w:i/>
          <w:iCs/>
          <w:sz w:val="16"/>
        </w:rPr>
      </w:pPr>
      <w:r>
        <w:rPr>
          <w:rFonts w:ascii="ZWAdobeF" w:hAnsi="ZWAdobeF"/>
          <w:sz w:val="2"/>
        </w:rPr>
        <w:t>T</w:t>
      </w:r>
      <w:r w:rsidR="007362AE">
        <w:rPr>
          <w:rStyle w:val="Funotenzeichen"/>
          <w:rFonts w:ascii="Arial" w:hAnsi="Arial"/>
          <w:sz w:val="14"/>
        </w:rPr>
        <w:footnoteRef/>
      </w:r>
      <w:r>
        <w:rPr>
          <w:rFonts w:ascii="ZWAdobeF" w:hAnsi="ZWAdobeF"/>
          <w:sz w:val="2"/>
        </w:rPr>
        <w:t>T</w:t>
      </w:r>
      <w:r w:rsidR="007362AE">
        <w:rPr>
          <w:rFonts w:ascii="Arial" w:hAnsi="Arial"/>
          <w:sz w:val="16"/>
        </w:rPr>
        <w:t xml:space="preserve"> </w:t>
      </w:r>
      <w:r w:rsidR="007362AE">
        <w:rPr>
          <w:rFonts w:ascii="Arial" w:hAnsi="Arial"/>
          <w:i/>
          <w:iCs/>
          <w:sz w:val="16"/>
        </w:rPr>
        <w:t>Unter der Voraussetzung, dass die jederzeitige Zusammenführung des Anforderungsformulars mit der Patientenakte gewäh</w:t>
      </w:r>
      <w:r w:rsidR="007362AE">
        <w:rPr>
          <w:rFonts w:ascii="Arial" w:hAnsi="Arial"/>
          <w:i/>
          <w:iCs/>
          <w:sz w:val="16"/>
        </w:rPr>
        <w:t>r</w:t>
      </w:r>
      <w:r w:rsidR="007362AE">
        <w:rPr>
          <w:rFonts w:ascii="Arial" w:hAnsi="Arial"/>
          <w:i/>
          <w:iCs/>
          <w:sz w:val="16"/>
        </w:rPr>
        <w:t>leistet ist, ist es zulässig, das Anforderungsformular zentral aufzubewahren. Dies ist als einrichtungsspezifische Besonderheit zu ergänzen.</w:t>
      </w:r>
    </w:p>
  </w:footnote>
  <w:footnote w:id="5">
    <w:p w:rsidR="007362AE" w:rsidRDefault="00BE5457" w:rsidP="00BE5457">
      <w:pPr>
        <w:pStyle w:val="Funotentext"/>
        <w:autoSpaceDE w:val="0"/>
        <w:spacing w:line="240" w:lineRule="auto"/>
        <w:rPr>
          <w:i/>
          <w:iCs/>
        </w:rPr>
      </w:pPr>
      <w:r>
        <w:rPr>
          <w:rFonts w:ascii="ZWAdobeF" w:hAnsi="ZWAdobeF"/>
          <w:iCs/>
          <w:sz w:val="2"/>
        </w:rPr>
        <w:t>T</w:t>
      </w:r>
      <w:r w:rsidR="007362AE">
        <w:rPr>
          <w:rStyle w:val="Funotenzeichen"/>
          <w:rFonts w:ascii="Arial" w:hAnsi="Arial" w:cs="Arial"/>
          <w:i/>
          <w:iCs/>
          <w:sz w:val="14"/>
        </w:rPr>
        <w:footnoteRef/>
      </w:r>
      <w:r>
        <w:rPr>
          <w:rFonts w:ascii="ZWAdobeF" w:hAnsi="ZWAdobeF"/>
          <w:iCs/>
          <w:sz w:val="2"/>
        </w:rPr>
        <w:t>T</w:t>
      </w:r>
      <w:r w:rsidR="007362AE">
        <w:rPr>
          <w:i/>
          <w:iCs/>
        </w:rPr>
        <w:t xml:space="preserve"> </w:t>
      </w:r>
      <w:r w:rsidR="007362AE">
        <w:rPr>
          <w:rFonts w:ascii="Arial" w:hAnsi="Arial" w:cs="Arial"/>
          <w:i/>
          <w:iCs/>
          <w:sz w:val="16"/>
        </w:rPr>
        <w:t xml:space="preserve">Nach TFG müssen diese Daten mindestens dreißig Jahre lang aufbewahrt werden. Die übrigen Daten sind mindestens 15 </w:t>
      </w:r>
      <w:r w:rsidR="007362AE">
        <w:rPr>
          <w:rFonts w:ascii="Arial" w:hAnsi="Arial" w:cs="Arial"/>
          <w:i/>
          <w:iCs/>
          <w:sz w:val="16"/>
        </w:rPr>
        <w:br/>
        <w:t xml:space="preserve">  Jahre aufzubewahren (§ 14 Abs. 3 TFG).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2AE" w:rsidRDefault="007362AE">
    <w:pPr>
      <w:pStyle w:val="Kopfzeile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Muster-Arbeitsanweisung zur Transfusion von EKs nach 1.6.2.1 b) der Richtlinien zur Hämotherapie</w:t>
    </w:r>
  </w:p>
  <w:p w:rsidR="007362AE" w:rsidRDefault="003410EF">
    <w:pPr>
      <w:pStyle w:val="Kopfzeile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Stand </w:t>
    </w:r>
    <w:r w:rsidR="00B4615E">
      <w:rPr>
        <w:rFonts w:ascii="Arial" w:hAnsi="Arial" w:cs="Arial"/>
        <w:sz w:val="18"/>
      </w:rPr>
      <w:t>2010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66D8D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49AD75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1B8E4B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4A8024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E8BE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FFE87E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B4D75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302F5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AC283D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62C15D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DDD019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213A64B1"/>
    <w:multiLevelType w:val="hybridMultilevel"/>
    <w:tmpl w:val="F9805004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401281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7313F9"/>
    <w:multiLevelType w:val="hybridMultilevel"/>
    <w:tmpl w:val="B1906B68"/>
    <w:lvl w:ilvl="0" w:tplc="0407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4">
    <w:nsid w:val="42F43C72"/>
    <w:multiLevelType w:val="singleLevel"/>
    <w:tmpl w:val="2A08D1C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>
    <w:nsid w:val="74786841"/>
    <w:multiLevelType w:val="hybridMultilevel"/>
    <w:tmpl w:val="AB74FAA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sz w:val="16"/>
        </w:rPr>
      </w:lvl>
    </w:lvlOverride>
  </w:num>
  <w:num w:numId="4">
    <w:abstractNumId w:val="15"/>
  </w:num>
  <w:num w:numId="5">
    <w:abstractNumId w:val="12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ED"/>
    <w:rsid w:val="0003394D"/>
    <w:rsid w:val="0005098B"/>
    <w:rsid w:val="00091273"/>
    <w:rsid w:val="000A79CD"/>
    <w:rsid w:val="00101558"/>
    <w:rsid w:val="00133B9E"/>
    <w:rsid w:val="00136FC9"/>
    <w:rsid w:val="001456AF"/>
    <w:rsid w:val="001472E3"/>
    <w:rsid w:val="001772ED"/>
    <w:rsid w:val="001B10A7"/>
    <w:rsid w:val="001C39E2"/>
    <w:rsid w:val="001D3590"/>
    <w:rsid w:val="001E1252"/>
    <w:rsid w:val="001F7424"/>
    <w:rsid w:val="00224F45"/>
    <w:rsid w:val="00264ABD"/>
    <w:rsid w:val="00287899"/>
    <w:rsid w:val="002B40E9"/>
    <w:rsid w:val="002B4771"/>
    <w:rsid w:val="002C5AC5"/>
    <w:rsid w:val="002E1E9D"/>
    <w:rsid w:val="003117FD"/>
    <w:rsid w:val="00331496"/>
    <w:rsid w:val="003410EF"/>
    <w:rsid w:val="003D3A40"/>
    <w:rsid w:val="004A29ED"/>
    <w:rsid w:val="004B1C80"/>
    <w:rsid w:val="004B2FE8"/>
    <w:rsid w:val="004B3CDC"/>
    <w:rsid w:val="00505390"/>
    <w:rsid w:val="00530BE1"/>
    <w:rsid w:val="00550DA2"/>
    <w:rsid w:val="005F2E5A"/>
    <w:rsid w:val="00634325"/>
    <w:rsid w:val="00667718"/>
    <w:rsid w:val="00675800"/>
    <w:rsid w:val="006C5FEB"/>
    <w:rsid w:val="006E0041"/>
    <w:rsid w:val="006F6002"/>
    <w:rsid w:val="00722EB1"/>
    <w:rsid w:val="007362AE"/>
    <w:rsid w:val="00794DED"/>
    <w:rsid w:val="007F0F46"/>
    <w:rsid w:val="00806751"/>
    <w:rsid w:val="00812D82"/>
    <w:rsid w:val="008131DE"/>
    <w:rsid w:val="0083751D"/>
    <w:rsid w:val="00857FF2"/>
    <w:rsid w:val="008832D4"/>
    <w:rsid w:val="008A44F4"/>
    <w:rsid w:val="008B4529"/>
    <w:rsid w:val="008D09B6"/>
    <w:rsid w:val="009766BD"/>
    <w:rsid w:val="009A672D"/>
    <w:rsid w:val="009E1E3D"/>
    <w:rsid w:val="009F0B63"/>
    <w:rsid w:val="00A11B45"/>
    <w:rsid w:val="00A36EE1"/>
    <w:rsid w:val="00AC22E5"/>
    <w:rsid w:val="00AE0DF6"/>
    <w:rsid w:val="00AE40E9"/>
    <w:rsid w:val="00AF74E1"/>
    <w:rsid w:val="00B10561"/>
    <w:rsid w:val="00B41588"/>
    <w:rsid w:val="00B4615E"/>
    <w:rsid w:val="00B75B60"/>
    <w:rsid w:val="00BE5457"/>
    <w:rsid w:val="00BE5EB4"/>
    <w:rsid w:val="00BF0DC6"/>
    <w:rsid w:val="00C125BE"/>
    <w:rsid w:val="00C51EB1"/>
    <w:rsid w:val="00C525A1"/>
    <w:rsid w:val="00D01746"/>
    <w:rsid w:val="00D956D7"/>
    <w:rsid w:val="00DF3A61"/>
    <w:rsid w:val="00E02B73"/>
    <w:rsid w:val="00E1617B"/>
    <w:rsid w:val="00E2638F"/>
    <w:rsid w:val="00E572FE"/>
    <w:rsid w:val="00E75737"/>
    <w:rsid w:val="00E76664"/>
    <w:rsid w:val="00E82CFE"/>
    <w:rsid w:val="00E86538"/>
    <w:rsid w:val="00E86984"/>
    <w:rsid w:val="00EA18C1"/>
    <w:rsid w:val="00F369CC"/>
    <w:rsid w:val="00FC6439"/>
    <w:rsid w:val="00FE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BE54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b/>
      <w:bCs/>
      <w:caps/>
      <w:sz w:val="28"/>
    </w:rPr>
  </w:style>
  <w:style w:type="paragraph" w:styleId="berschrift7">
    <w:name w:val="heading 7"/>
    <w:basedOn w:val="Standard"/>
    <w:next w:val="Standard"/>
    <w:qFormat/>
    <w:rsid w:val="00BE5457"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qFormat/>
    <w:rsid w:val="00BE5457"/>
    <w:pPr>
      <w:spacing w:before="240" w:after="6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BE545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-Zeileneinzug">
    <w:name w:val="Body Text Indent"/>
    <w:basedOn w:val="Standard"/>
    <w:pPr>
      <w:ind w:left="360"/>
    </w:pPr>
    <w:rPr>
      <w:rFonts w:ascii="Arial" w:hAnsi="Arial"/>
    </w:rPr>
  </w:style>
  <w:style w:type="paragraph" w:styleId="Textkrper-Einzug2">
    <w:name w:val="Body Text Indent 2"/>
    <w:basedOn w:val="Standard"/>
    <w:pPr>
      <w:ind w:left="360"/>
    </w:pPr>
    <w:rPr>
      <w:rFonts w:ascii="Arial" w:hAnsi="Arial"/>
      <w:b/>
    </w:r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pPr>
      <w:spacing w:line="360" w:lineRule="atLeast"/>
    </w:pPr>
  </w:style>
  <w:style w:type="character" w:styleId="Zeilennummer">
    <w:name w:val="lin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/>
      <w:i/>
      <w:iCs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Textkrper-Einzug3">
    <w:name w:val="Body Text Indent 3"/>
    <w:basedOn w:val="Standard"/>
    <w:pPr>
      <w:ind w:left="953" w:hanging="244"/>
      <w:jc w:val="both"/>
    </w:pPr>
    <w:rPr>
      <w:rFonts w:ascii="Arial" w:hAnsi="Arial" w:cs="Arial"/>
    </w:rPr>
  </w:style>
  <w:style w:type="paragraph" w:styleId="Textkrper2">
    <w:name w:val="Body Text 2"/>
    <w:basedOn w:val="Standard"/>
    <w:pPr>
      <w:jc w:val="both"/>
    </w:pPr>
    <w:rPr>
      <w:rFonts w:ascii="Arial" w:hAnsi="Arial"/>
      <w:b/>
      <w:bCs/>
    </w:rPr>
  </w:style>
  <w:style w:type="paragraph" w:styleId="Textkrper3">
    <w:name w:val="Body Text 3"/>
    <w:basedOn w:val="Standard"/>
    <w:pPr>
      <w:jc w:val="center"/>
    </w:pPr>
    <w:rPr>
      <w:rFonts w:ascii="Arial" w:hAnsi="Arial" w:cs="Arial"/>
      <w:sz w:val="28"/>
    </w:rPr>
  </w:style>
  <w:style w:type="paragraph" w:styleId="Abbildungsverzeichnis">
    <w:name w:val="table of figures"/>
    <w:basedOn w:val="Standard"/>
    <w:next w:val="Standard"/>
    <w:semiHidden/>
    <w:rsid w:val="00BE5457"/>
  </w:style>
  <w:style w:type="paragraph" w:styleId="Anrede">
    <w:name w:val="Salutation"/>
    <w:basedOn w:val="Standard"/>
    <w:next w:val="Standard"/>
    <w:rsid w:val="00BE5457"/>
  </w:style>
  <w:style w:type="paragraph" w:styleId="Aufzhlungszeichen">
    <w:name w:val="List Bullet"/>
    <w:basedOn w:val="Standard"/>
    <w:rsid w:val="00BE5457"/>
    <w:pPr>
      <w:numPr>
        <w:numId w:val="7"/>
      </w:numPr>
    </w:pPr>
  </w:style>
  <w:style w:type="paragraph" w:styleId="Aufzhlungszeichen2">
    <w:name w:val="List Bullet 2"/>
    <w:basedOn w:val="Standard"/>
    <w:rsid w:val="00BE5457"/>
    <w:pPr>
      <w:numPr>
        <w:numId w:val="8"/>
      </w:numPr>
    </w:pPr>
  </w:style>
  <w:style w:type="paragraph" w:styleId="Aufzhlungszeichen3">
    <w:name w:val="List Bullet 3"/>
    <w:basedOn w:val="Standard"/>
    <w:rsid w:val="00BE5457"/>
    <w:pPr>
      <w:numPr>
        <w:numId w:val="9"/>
      </w:numPr>
    </w:pPr>
  </w:style>
  <w:style w:type="paragraph" w:styleId="Aufzhlungszeichen4">
    <w:name w:val="List Bullet 4"/>
    <w:basedOn w:val="Standard"/>
    <w:rsid w:val="00BE5457"/>
    <w:pPr>
      <w:numPr>
        <w:numId w:val="10"/>
      </w:numPr>
    </w:pPr>
  </w:style>
  <w:style w:type="paragraph" w:styleId="Aufzhlungszeichen5">
    <w:name w:val="List Bullet 5"/>
    <w:basedOn w:val="Standard"/>
    <w:rsid w:val="00BE5457"/>
    <w:pPr>
      <w:numPr>
        <w:numId w:val="11"/>
      </w:numPr>
    </w:pPr>
  </w:style>
  <w:style w:type="paragraph" w:styleId="Beschriftung">
    <w:name w:val="caption"/>
    <w:basedOn w:val="Standard"/>
    <w:next w:val="Standard"/>
    <w:qFormat/>
    <w:rsid w:val="00BE5457"/>
    <w:rPr>
      <w:b/>
      <w:bCs/>
    </w:rPr>
  </w:style>
  <w:style w:type="paragraph" w:styleId="Blocktext">
    <w:name w:val="Block Text"/>
    <w:basedOn w:val="Standard"/>
    <w:rsid w:val="00BE5457"/>
    <w:pPr>
      <w:spacing w:after="120"/>
      <w:ind w:left="1440" w:right="1440"/>
    </w:pPr>
  </w:style>
  <w:style w:type="paragraph" w:styleId="Datum">
    <w:name w:val="Date"/>
    <w:basedOn w:val="Standard"/>
    <w:next w:val="Standard"/>
    <w:rsid w:val="00BE5457"/>
  </w:style>
  <w:style w:type="paragraph" w:styleId="Dokumentstruktur">
    <w:name w:val="Document Map"/>
    <w:basedOn w:val="Standard"/>
    <w:semiHidden/>
    <w:rsid w:val="00BE5457"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rsid w:val="00BE5457"/>
  </w:style>
  <w:style w:type="paragraph" w:styleId="Fu-Endnotenberschrift">
    <w:name w:val="Note Heading"/>
    <w:basedOn w:val="Standard"/>
    <w:next w:val="Standard"/>
    <w:rsid w:val="00BE5457"/>
  </w:style>
  <w:style w:type="paragraph" w:styleId="Gruformel">
    <w:name w:val="Closing"/>
    <w:basedOn w:val="Standard"/>
    <w:rsid w:val="00BE5457"/>
    <w:pPr>
      <w:ind w:left="4252"/>
    </w:pPr>
  </w:style>
  <w:style w:type="paragraph" w:styleId="HTMLAdresse">
    <w:name w:val="HTML Address"/>
    <w:basedOn w:val="Standard"/>
    <w:rsid w:val="00BE5457"/>
    <w:rPr>
      <w:i/>
      <w:iCs/>
    </w:rPr>
  </w:style>
  <w:style w:type="paragraph" w:styleId="HTMLVorformatiert">
    <w:name w:val="HTML Preformatted"/>
    <w:basedOn w:val="Standard"/>
    <w:rsid w:val="00BE5457"/>
    <w:rPr>
      <w:rFonts w:ascii="Courier New" w:hAnsi="Courier New" w:cs="Courier New"/>
    </w:rPr>
  </w:style>
  <w:style w:type="paragraph" w:styleId="Index1">
    <w:name w:val="index 1"/>
    <w:basedOn w:val="Standard"/>
    <w:next w:val="Standard"/>
    <w:autoRedefine/>
    <w:semiHidden/>
    <w:rsid w:val="00BE5457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BE5457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BE5457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BE5457"/>
    <w:pPr>
      <w:ind w:left="800" w:hanging="200"/>
    </w:pPr>
  </w:style>
  <w:style w:type="paragraph" w:styleId="Index5">
    <w:name w:val="index 5"/>
    <w:basedOn w:val="Standard"/>
    <w:next w:val="Standard"/>
    <w:autoRedefine/>
    <w:semiHidden/>
    <w:rsid w:val="00BE5457"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rsid w:val="00BE5457"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rsid w:val="00BE5457"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rsid w:val="00BE5457"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rsid w:val="00BE5457"/>
    <w:pPr>
      <w:ind w:left="1800" w:hanging="200"/>
    </w:pPr>
  </w:style>
  <w:style w:type="paragraph" w:styleId="Indexberschrift">
    <w:name w:val="index heading"/>
    <w:basedOn w:val="Standard"/>
    <w:next w:val="Index1"/>
    <w:semiHidden/>
    <w:rsid w:val="00BE5457"/>
    <w:rPr>
      <w:rFonts w:ascii="Arial" w:hAnsi="Arial" w:cs="Arial"/>
      <w:b/>
      <w:bCs/>
    </w:rPr>
  </w:style>
  <w:style w:type="paragraph" w:styleId="Kommentartext">
    <w:name w:val="annotation text"/>
    <w:basedOn w:val="Standard"/>
    <w:semiHidden/>
    <w:rsid w:val="00BE5457"/>
  </w:style>
  <w:style w:type="paragraph" w:styleId="Kommentarthema">
    <w:name w:val="annotation subject"/>
    <w:basedOn w:val="Kommentartext"/>
    <w:next w:val="Kommentartext"/>
    <w:semiHidden/>
    <w:rsid w:val="00BE5457"/>
    <w:rPr>
      <w:b/>
      <w:bCs/>
    </w:rPr>
  </w:style>
  <w:style w:type="paragraph" w:styleId="Liste">
    <w:name w:val="List"/>
    <w:basedOn w:val="Standard"/>
    <w:rsid w:val="00BE5457"/>
    <w:pPr>
      <w:ind w:left="283" w:hanging="283"/>
    </w:pPr>
  </w:style>
  <w:style w:type="paragraph" w:styleId="Liste2">
    <w:name w:val="List 2"/>
    <w:basedOn w:val="Standard"/>
    <w:rsid w:val="00BE5457"/>
    <w:pPr>
      <w:ind w:left="566" w:hanging="283"/>
    </w:pPr>
  </w:style>
  <w:style w:type="paragraph" w:styleId="Liste3">
    <w:name w:val="List 3"/>
    <w:basedOn w:val="Standard"/>
    <w:rsid w:val="00BE5457"/>
    <w:pPr>
      <w:ind w:left="849" w:hanging="283"/>
    </w:pPr>
  </w:style>
  <w:style w:type="paragraph" w:styleId="Liste4">
    <w:name w:val="List 4"/>
    <w:basedOn w:val="Standard"/>
    <w:rsid w:val="00BE5457"/>
    <w:pPr>
      <w:ind w:left="1132" w:hanging="283"/>
    </w:pPr>
  </w:style>
  <w:style w:type="paragraph" w:styleId="Liste5">
    <w:name w:val="List 5"/>
    <w:basedOn w:val="Standard"/>
    <w:rsid w:val="00BE5457"/>
    <w:pPr>
      <w:ind w:left="1415" w:hanging="283"/>
    </w:pPr>
  </w:style>
  <w:style w:type="paragraph" w:styleId="Listenfortsetzung">
    <w:name w:val="List Continue"/>
    <w:basedOn w:val="Standard"/>
    <w:rsid w:val="00BE5457"/>
    <w:pPr>
      <w:spacing w:after="120"/>
      <w:ind w:left="283"/>
    </w:pPr>
  </w:style>
  <w:style w:type="paragraph" w:styleId="Listenfortsetzung2">
    <w:name w:val="List Continue 2"/>
    <w:basedOn w:val="Standard"/>
    <w:rsid w:val="00BE5457"/>
    <w:pPr>
      <w:spacing w:after="120"/>
      <w:ind w:left="566"/>
    </w:pPr>
  </w:style>
  <w:style w:type="paragraph" w:styleId="Listenfortsetzung3">
    <w:name w:val="List Continue 3"/>
    <w:basedOn w:val="Standard"/>
    <w:rsid w:val="00BE5457"/>
    <w:pPr>
      <w:spacing w:after="120"/>
      <w:ind w:left="849"/>
    </w:pPr>
  </w:style>
  <w:style w:type="paragraph" w:styleId="Listenfortsetzung4">
    <w:name w:val="List Continue 4"/>
    <w:basedOn w:val="Standard"/>
    <w:rsid w:val="00BE5457"/>
    <w:pPr>
      <w:spacing w:after="120"/>
      <w:ind w:left="1132"/>
    </w:pPr>
  </w:style>
  <w:style w:type="paragraph" w:styleId="Listenfortsetzung5">
    <w:name w:val="List Continue 5"/>
    <w:basedOn w:val="Standard"/>
    <w:rsid w:val="00BE5457"/>
    <w:pPr>
      <w:spacing w:after="120"/>
      <w:ind w:left="1415"/>
    </w:pPr>
  </w:style>
  <w:style w:type="paragraph" w:styleId="Listennummer">
    <w:name w:val="List Number"/>
    <w:basedOn w:val="Standard"/>
    <w:rsid w:val="00BE5457"/>
    <w:pPr>
      <w:numPr>
        <w:numId w:val="12"/>
      </w:numPr>
    </w:pPr>
  </w:style>
  <w:style w:type="paragraph" w:styleId="Listennummer2">
    <w:name w:val="List Number 2"/>
    <w:basedOn w:val="Standard"/>
    <w:rsid w:val="00BE5457"/>
    <w:pPr>
      <w:numPr>
        <w:numId w:val="13"/>
      </w:numPr>
    </w:pPr>
  </w:style>
  <w:style w:type="paragraph" w:styleId="Listennummer3">
    <w:name w:val="List Number 3"/>
    <w:basedOn w:val="Standard"/>
    <w:rsid w:val="00BE5457"/>
    <w:pPr>
      <w:numPr>
        <w:numId w:val="14"/>
      </w:numPr>
    </w:pPr>
  </w:style>
  <w:style w:type="paragraph" w:styleId="Listennummer4">
    <w:name w:val="List Number 4"/>
    <w:basedOn w:val="Standard"/>
    <w:rsid w:val="00BE5457"/>
    <w:pPr>
      <w:numPr>
        <w:numId w:val="15"/>
      </w:numPr>
    </w:pPr>
  </w:style>
  <w:style w:type="paragraph" w:styleId="Listennummer5">
    <w:name w:val="List Number 5"/>
    <w:basedOn w:val="Standard"/>
    <w:rsid w:val="00BE5457"/>
    <w:pPr>
      <w:numPr>
        <w:numId w:val="16"/>
      </w:numPr>
    </w:pPr>
  </w:style>
  <w:style w:type="paragraph" w:styleId="Makrotext">
    <w:name w:val="macro"/>
    <w:semiHidden/>
    <w:rsid w:val="00BE54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achrichtenkopf">
    <w:name w:val="Message Header"/>
    <w:basedOn w:val="Standard"/>
    <w:rsid w:val="00BE54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urText">
    <w:name w:val="Plain Text"/>
    <w:basedOn w:val="Standard"/>
    <w:rsid w:val="00BE5457"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semiHidden/>
    <w:rsid w:val="00BE5457"/>
    <w:pPr>
      <w:ind w:left="200" w:hanging="200"/>
    </w:pPr>
  </w:style>
  <w:style w:type="paragraph" w:styleId="RGV-berschrift">
    <w:name w:val="toa heading"/>
    <w:basedOn w:val="Standard"/>
    <w:next w:val="Standard"/>
    <w:semiHidden/>
    <w:rsid w:val="00BE5457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Sprechblasentext">
    <w:name w:val="Balloon Text"/>
    <w:basedOn w:val="Standard"/>
    <w:semiHidden/>
    <w:rsid w:val="00BE5457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BE5457"/>
    <w:rPr>
      <w:sz w:val="24"/>
      <w:szCs w:val="24"/>
    </w:rPr>
  </w:style>
  <w:style w:type="paragraph" w:styleId="Standardeinzug">
    <w:name w:val="Normal Indent"/>
    <w:basedOn w:val="Standard"/>
    <w:rsid w:val="00BE5457"/>
    <w:pPr>
      <w:ind w:left="708"/>
    </w:pPr>
  </w:style>
  <w:style w:type="paragraph" w:styleId="Textkrper-Erstzeileneinzug">
    <w:name w:val="Body Text First Indent"/>
    <w:basedOn w:val="Textkrper"/>
    <w:rsid w:val="00BE5457"/>
    <w:pPr>
      <w:spacing w:after="120"/>
      <w:ind w:firstLine="210"/>
    </w:pPr>
    <w:rPr>
      <w:rFonts w:ascii="Times New Roman" w:hAnsi="Times New Roman"/>
      <w:i w:val="0"/>
      <w:iCs w:val="0"/>
    </w:rPr>
  </w:style>
  <w:style w:type="paragraph" w:styleId="Textkrper-Erstzeileneinzug2">
    <w:name w:val="Body Text First Indent 2"/>
    <w:basedOn w:val="Textkrper-Zeileneinzug"/>
    <w:rsid w:val="00BE5457"/>
    <w:pPr>
      <w:spacing w:after="120"/>
      <w:ind w:left="283" w:firstLine="210"/>
    </w:pPr>
    <w:rPr>
      <w:rFonts w:ascii="Times New Roman" w:hAnsi="Times New Roman"/>
    </w:rPr>
  </w:style>
  <w:style w:type="paragraph" w:styleId="Titel">
    <w:name w:val="Title"/>
    <w:basedOn w:val="Standard"/>
    <w:qFormat/>
    <w:rsid w:val="00BE545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sid w:val="00BE5457"/>
    <w:rPr>
      <w:rFonts w:ascii="Arial" w:hAnsi="Arial" w:cs="Arial"/>
    </w:rPr>
  </w:style>
  <w:style w:type="paragraph" w:styleId="Umschlagadresse">
    <w:name w:val="envelope address"/>
    <w:basedOn w:val="Standard"/>
    <w:rsid w:val="00BE5457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Unterschrift">
    <w:name w:val="Signature"/>
    <w:basedOn w:val="Standard"/>
    <w:rsid w:val="00BE5457"/>
    <w:pPr>
      <w:ind w:left="4252"/>
    </w:pPr>
  </w:style>
  <w:style w:type="paragraph" w:styleId="Untertitel">
    <w:name w:val="Subtitle"/>
    <w:basedOn w:val="Standard"/>
    <w:qFormat/>
    <w:rsid w:val="00BE545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Verzeichnis1">
    <w:name w:val="toc 1"/>
    <w:basedOn w:val="Standard"/>
    <w:next w:val="Standard"/>
    <w:autoRedefine/>
    <w:semiHidden/>
    <w:rsid w:val="00BE5457"/>
  </w:style>
  <w:style w:type="paragraph" w:styleId="Verzeichnis2">
    <w:name w:val="toc 2"/>
    <w:basedOn w:val="Standard"/>
    <w:next w:val="Standard"/>
    <w:autoRedefine/>
    <w:semiHidden/>
    <w:rsid w:val="00BE5457"/>
    <w:pPr>
      <w:ind w:left="200"/>
    </w:pPr>
  </w:style>
  <w:style w:type="paragraph" w:styleId="Verzeichnis3">
    <w:name w:val="toc 3"/>
    <w:basedOn w:val="Standard"/>
    <w:next w:val="Standard"/>
    <w:autoRedefine/>
    <w:semiHidden/>
    <w:rsid w:val="00BE5457"/>
    <w:pPr>
      <w:ind w:left="400"/>
    </w:pPr>
  </w:style>
  <w:style w:type="paragraph" w:styleId="Verzeichnis4">
    <w:name w:val="toc 4"/>
    <w:basedOn w:val="Standard"/>
    <w:next w:val="Standard"/>
    <w:autoRedefine/>
    <w:semiHidden/>
    <w:rsid w:val="00BE5457"/>
    <w:pPr>
      <w:ind w:left="600"/>
    </w:pPr>
  </w:style>
  <w:style w:type="paragraph" w:styleId="Verzeichnis5">
    <w:name w:val="toc 5"/>
    <w:basedOn w:val="Standard"/>
    <w:next w:val="Standard"/>
    <w:autoRedefine/>
    <w:semiHidden/>
    <w:rsid w:val="00BE5457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BE5457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BE5457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BE5457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BE5457"/>
    <w:pPr>
      <w:ind w:left="16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BE54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b/>
      <w:bCs/>
      <w:caps/>
      <w:sz w:val="28"/>
    </w:rPr>
  </w:style>
  <w:style w:type="paragraph" w:styleId="berschrift7">
    <w:name w:val="heading 7"/>
    <w:basedOn w:val="Standard"/>
    <w:next w:val="Standard"/>
    <w:qFormat/>
    <w:rsid w:val="00BE5457"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qFormat/>
    <w:rsid w:val="00BE5457"/>
    <w:pPr>
      <w:spacing w:before="240" w:after="6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BE545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-Zeileneinzug">
    <w:name w:val="Body Text Indent"/>
    <w:basedOn w:val="Standard"/>
    <w:pPr>
      <w:ind w:left="360"/>
    </w:pPr>
    <w:rPr>
      <w:rFonts w:ascii="Arial" w:hAnsi="Arial"/>
    </w:rPr>
  </w:style>
  <w:style w:type="paragraph" w:styleId="Textkrper-Einzug2">
    <w:name w:val="Body Text Indent 2"/>
    <w:basedOn w:val="Standard"/>
    <w:pPr>
      <w:ind w:left="360"/>
    </w:pPr>
    <w:rPr>
      <w:rFonts w:ascii="Arial" w:hAnsi="Arial"/>
      <w:b/>
    </w:r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pPr>
      <w:spacing w:line="360" w:lineRule="atLeast"/>
    </w:pPr>
  </w:style>
  <w:style w:type="character" w:styleId="Zeilennummer">
    <w:name w:val="lin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/>
      <w:i/>
      <w:iCs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Textkrper-Einzug3">
    <w:name w:val="Body Text Indent 3"/>
    <w:basedOn w:val="Standard"/>
    <w:pPr>
      <w:ind w:left="953" w:hanging="244"/>
      <w:jc w:val="both"/>
    </w:pPr>
    <w:rPr>
      <w:rFonts w:ascii="Arial" w:hAnsi="Arial" w:cs="Arial"/>
    </w:rPr>
  </w:style>
  <w:style w:type="paragraph" w:styleId="Textkrper2">
    <w:name w:val="Body Text 2"/>
    <w:basedOn w:val="Standard"/>
    <w:pPr>
      <w:jc w:val="both"/>
    </w:pPr>
    <w:rPr>
      <w:rFonts w:ascii="Arial" w:hAnsi="Arial"/>
      <w:b/>
      <w:bCs/>
    </w:rPr>
  </w:style>
  <w:style w:type="paragraph" w:styleId="Textkrper3">
    <w:name w:val="Body Text 3"/>
    <w:basedOn w:val="Standard"/>
    <w:pPr>
      <w:jc w:val="center"/>
    </w:pPr>
    <w:rPr>
      <w:rFonts w:ascii="Arial" w:hAnsi="Arial" w:cs="Arial"/>
      <w:sz w:val="28"/>
    </w:rPr>
  </w:style>
  <w:style w:type="paragraph" w:styleId="Abbildungsverzeichnis">
    <w:name w:val="table of figures"/>
    <w:basedOn w:val="Standard"/>
    <w:next w:val="Standard"/>
    <w:semiHidden/>
    <w:rsid w:val="00BE5457"/>
  </w:style>
  <w:style w:type="paragraph" w:styleId="Anrede">
    <w:name w:val="Salutation"/>
    <w:basedOn w:val="Standard"/>
    <w:next w:val="Standard"/>
    <w:rsid w:val="00BE5457"/>
  </w:style>
  <w:style w:type="paragraph" w:styleId="Aufzhlungszeichen">
    <w:name w:val="List Bullet"/>
    <w:basedOn w:val="Standard"/>
    <w:rsid w:val="00BE5457"/>
    <w:pPr>
      <w:numPr>
        <w:numId w:val="7"/>
      </w:numPr>
    </w:pPr>
  </w:style>
  <w:style w:type="paragraph" w:styleId="Aufzhlungszeichen2">
    <w:name w:val="List Bullet 2"/>
    <w:basedOn w:val="Standard"/>
    <w:rsid w:val="00BE5457"/>
    <w:pPr>
      <w:numPr>
        <w:numId w:val="8"/>
      </w:numPr>
    </w:pPr>
  </w:style>
  <w:style w:type="paragraph" w:styleId="Aufzhlungszeichen3">
    <w:name w:val="List Bullet 3"/>
    <w:basedOn w:val="Standard"/>
    <w:rsid w:val="00BE5457"/>
    <w:pPr>
      <w:numPr>
        <w:numId w:val="9"/>
      </w:numPr>
    </w:pPr>
  </w:style>
  <w:style w:type="paragraph" w:styleId="Aufzhlungszeichen4">
    <w:name w:val="List Bullet 4"/>
    <w:basedOn w:val="Standard"/>
    <w:rsid w:val="00BE5457"/>
    <w:pPr>
      <w:numPr>
        <w:numId w:val="10"/>
      </w:numPr>
    </w:pPr>
  </w:style>
  <w:style w:type="paragraph" w:styleId="Aufzhlungszeichen5">
    <w:name w:val="List Bullet 5"/>
    <w:basedOn w:val="Standard"/>
    <w:rsid w:val="00BE5457"/>
    <w:pPr>
      <w:numPr>
        <w:numId w:val="11"/>
      </w:numPr>
    </w:pPr>
  </w:style>
  <w:style w:type="paragraph" w:styleId="Beschriftung">
    <w:name w:val="caption"/>
    <w:basedOn w:val="Standard"/>
    <w:next w:val="Standard"/>
    <w:qFormat/>
    <w:rsid w:val="00BE5457"/>
    <w:rPr>
      <w:b/>
      <w:bCs/>
    </w:rPr>
  </w:style>
  <w:style w:type="paragraph" w:styleId="Blocktext">
    <w:name w:val="Block Text"/>
    <w:basedOn w:val="Standard"/>
    <w:rsid w:val="00BE5457"/>
    <w:pPr>
      <w:spacing w:after="120"/>
      <w:ind w:left="1440" w:right="1440"/>
    </w:pPr>
  </w:style>
  <w:style w:type="paragraph" w:styleId="Datum">
    <w:name w:val="Date"/>
    <w:basedOn w:val="Standard"/>
    <w:next w:val="Standard"/>
    <w:rsid w:val="00BE5457"/>
  </w:style>
  <w:style w:type="paragraph" w:styleId="Dokumentstruktur">
    <w:name w:val="Document Map"/>
    <w:basedOn w:val="Standard"/>
    <w:semiHidden/>
    <w:rsid w:val="00BE5457"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rsid w:val="00BE5457"/>
  </w:style>
  <w:style w:type="paragraph" w:styleId="Fu-Endnotenberschrift">
    <w:name w:val="Note Heading"/>
    <w:basedOn w:val="Standard"/>
    <w:next w:val="Standard"/>
    <w:rsid w:val="00BE5457"/>
  </w:style>
  <w:style w:type="paragraph" w:styleId="Gruformel">
    <w:name w:val="Closing"/>
    <w:basedOn w:val="Standard"/>
    <w:rsid w:val="00BE5457"/>
    <w:pPr>
      <w:ind w:left="4252"/>
    </w:pPr>
  </w:style>
  <w:style w:type="paragraph" w:styleId="HTMLAdresse">
    <w:name w:val="HTML Address"/>
    <w:basedOn w:val="Standard"/>
    <w:rsid w:val="00BE5457"/>
    <w:rPr>
      <w:i/>
      <w:iCs/>
    </w:rPr>
  </w:style>
  <w:style w:type="paragraph" w:styleId="HTMLVorformatiert">
    <w:name w:val="HTML Preformatted"/>
    <w:basedOn w:val="Standard"/>
    <w:rsid w:val="00BE5457"/>
    <w:rPr>
      <w:rFonts w:ascii="Courier New" w:hAnsi="Courier New" w:cs="Courier New"/>
    </w:rPr>
  </w:style>
  <w:style w:type="paragraph" w:styleId="Index1">
    <w:name w:val="index 1"/>
    <w:basedOn w:val="Standard"/>
    <w:next w:val="Standard"/>
    <w:autoRedefine/>
    <w:semiHidden/>
    <w:rsid w:val="00BE5457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BE5457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BE5457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BE5457"/>
    <w:pPr>
      <w:ind w:left="800" w:hanging="200"/>
    </w:pPr>
  </w:style>
  <w:style w:type="paragraph" w:styleId="Index5">
    <w:name w:val="index 5"/>
    <w:basedOn w:val="Standard"/>
    <w:next w:val="Standard"/>
    <w:autoRedefine/>
    <w:semiHidden/>
    <w:rsid w:val="00BE5457"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rsid w:val="00BE5457"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rsid w:val="00BE5457"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rsid w:val="00BE5457"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rsid w:val="00BE5457"/>
    <w:pPr>
      <w:ind w:left="1800" w:hanging="200"/>
    </w:pPr>
  </w:style>
  <w:style w:type="paragraph" w:styleId="Indexberschrift">
    <w:name w:val="index heading"/>
    <w:basedOn w:val="Standard"/>
    <w:next w:val="Index1"/>
    <w:semiHidden/>
    <w:rsid w:val="00BE5457"/>
    <w:rPr>
      <w:rFonts w:ascii="Arial" w:hAnsi="Arial" w:cs="Arial"/>
      <w:b/>
      <w:bCs/>
    </w:rPr>
  </w:style>
  <w:style w:type="paragraph" w:styleId="Kommentartext">
    <w:name w:val="annotation text"/>
    <w:basedOn w:val="Standard"/>
    <w:semiHidden/>
    <w:rsid w:val="00BE5457"/>
  </w:style>
  <w:style w:type="paragraph" w:styleId="Kommentarthema">
    <w:name w:val="annotation subject"/>
    <w:basedOn w:val="Kommentartext"/>
    <w:next w:val="Kommentartext"/>
    <w:semiHidden/>
    <w:rsid w:val="00BE5457"/>
    <w:rPr>
      <w:b/>
      <w:bCs/>
    </w:rPr>
  </w:style>
  <w:style w:type="paragraph" w:styleId="Liste">
    <w:name w:val="List"/>
    <w:basedOn w:val="Standard"/>
    <w:rsid w:val="00BE5457"/>
    <w:pPr>
      <w:ind w:left="283" w:hanging="283"/>
    </w:pPr>
  </w:style>
  <w:style w:type="paragraph" w:styleId="Liste2">
    <w:name w:val="List 2"/>
    <w:basedOn w:val="Standard"/>
    <w:rsid w:val="00BE5457"/>
    <w:pPr>
      <w:ind w:left="566" w:hanging="283"/>
    </w:pPr>
  </w:style>
  <w:style w:type="paragraph" w:styleId="Liste3">
    <w:name w:val="List 3"/>
    <w:basedOn w:val="Standard"/>
    <w:rsid w:val="00BE5457"/>
    <w:pPr>
      <w:ind w:left="849" w:hanging="283"/>
    </w:pPr>
  </w:style>
  <w:style w:type="paragraph" w:styleId="Liste4">
    <w:name w:val="List 4"/>
    <w:basedOn w:val="Standard"/>
    <w:rsid w:val="00BE5457"/>
    <w:pPr>
      <w:ind w:left="1132" w:hanging="283"/>
    </w:pPr>
  </w:style>
  <w:style w:type="paragraph" w:styleId="Liste5">
    <w:name w:val="List 5"/>
    <w:basedOn w:val="Standard"/>
    <w:rsid w:val="00BE5457"/>
    <w:pPr>
      <w:ind w:left="1415" w:hanging="283"/>
    </w:pPr>
  </w:style>
  <w:style w:type="paragraph" w:styleId="Listenfortsetzung">
    <w:name w:val="List Continue"/>
    <w:basedOn w:val="Standard"/>
    <w:rsid w:val="00BE5457"/>
    <w:pPr>
      <w:spacing w:after="120"/>
      <w:ind w:left="283"/>
    </w:pPr>
  </w:style>
  <w:style w:type="paragraph" w:styleId="Listenfortsetzung2">
    <w:name w:val="List Continue 2"/>
    <w:basedOn w:val="Standard"/>
    <w:rsid w:val="00BE5457"/>
    <w:pPr>
      <w:spacing w:after="120"/>
      <w:ind w:left="566"/>
    </w:pPr>
  </w:style>
  <w:style w:type="paragraph" w:styleId="Listenfortsetzung3">
    <w:name w:val="List Continue 3"/>
    <w:basedOn w:val="Standard"/>
    <w:rsid w:val="00BE5457"/>
    <w:pPr>
      <w:spacing w:after="120"/>
      <w:ind w:left="849"/>
    </w:pPr>
  </w:style>
  <w:style w:type="paragraph" w:styleId="Listenfortsetzung4">
    <w:name w:val="List Continue 4"/>
    <w:basedOn w:val="Standard"/>
    <w:rsid w:val="00BE5457"/>
    <w:pPr>
      <w:spacing w:after="120"/>
      <w:ind w:left="1132"/>
    </w:pPr>
  </w:style>
  <w:style w:type="paragraph" w:styleId="Listenfortsetzung5">
    <w:name w:val="List Continue 5"/>
    <w:basedOn w:val="Standard"/>
    <w:rsid w:val="00BE5457"/>
    <w:pPr>
      <w:spacing w:after="120"/>
      <w:ind w:left="1415"/>
    </w:pPr>
  </w:style>
  <w:style w:type="paragraph" w:styleId="Listennummer">
    <w:name w:val="List Number"/>
    <w:basedOn w:val="Standard"/>
    <w:rsid w:val="00BE5457"/>
    <w:pPr>
      <w:numPr>
        <w:numId w:val="12"/>
      </w:numPr>
    </w:pPr>
  </w:style>
  <w:style w:type="paragraph" w:styleId="Listennummer2">
    <w:name w:val="List Number 2"/>
    <w:basedOn w:val="Standard"/>
    <w:rsid w:val="00BE5457"/>
    <w:pPr>
      <w:numPr>
        <w:numId w:val="13"/>
      </w:numPr>
    </w:pPr>
  </w:style>
  <w:style w:type="paragraph" w:styleId="Listennummer3">
    <w:name w:val="List Number 3"/>
    <w:basedOn w:val="Standard"/>
    <w:rsid w:val="00BE5457"/>
    <w:pPr>
      <w:numPr>
        <w:numId w:val="14"/>
      </w:numPr>
    </w:pPr>
  </w:style>
  <w:style w:type="paragraph" w:styleId="Listennummer4">
    <w:name w:val="List Number 4"/>
    <w:basedOn w:val="Standard"/>
    <w:rsid w:val="00BE5457"/>
    <w:pPr>
      <w:numPr>
        <w:numId w:val="15"/>
      </w:numPr>
    </w:pPr>
  </w:style>
  <w:style w:type="paragraph" w:styleId="Listennummer5">
    <w:name w:val="List Number 5"/>
    <w:basedOn w:val="Standard"/>
    <w:rsid w:val="00BE5457"/>
    <w:pPr>
      <w:numPr>
        <w:numId w:val="16"/>
      </w:numPr>
    </w:pPr>
  </w:style>
  <w:style w:type="paragraph" w:styleId="Makrotext">
    <w:name w:val="macro"/>
    <w:semiHidden/>
    <w:rsid w:val="00BE54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achrichtenkopf">
    <w:name w:val="Message Header"/>
    <w:basedOn w:val="Standard"/>
    <w:rsid w:val="00BE54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urText">
    <w:name w:val="Plain Text"/>
    <w:basedOn w:val="Standard"/>
    <w:rsid w:val="00BE5457"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semiHidden/>
    <w:rsid w:val="00BE5457"/>
    <w:pPr>
      <w:ind w:left="200" w:hanging="200"/>
    </w:pPr>
  </w:style>
  <w:style w:type="paragraph" w:styleId="RGV-berschrift">
    <w:name w:val="toa heading"/>
    <w:basedOn w:val="Standard"/>
    <w:next w:val="Standard"/>
    <w:semiHidden/>
    <w:rsid w:val="00BE5457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Sprechblasentext">
    <w:name w:val="Balloon Text"/>
    <w:basedOn w:val="Standard"/>
    <w:semiHidden/>
    <w:rsid w:val="00BE5457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BE5457"/>
    <w:rPr>
      <w:sz w:val="24"/>
      <w:szCs w:val="24"/>
    </w:rPr>
  </w:style>
  <w:style w:type="paragraph" w:styleId="Standardeinzug">
    <w:name w:val="Normal Indent"/>
    <w:basedOn w:val="Standard"/>
    <w:rsid w:val="00BE5457"/>
    <w:pPr>
      <w:ind w:left="708"/>
    </w:pPr>
  </w:style>
  <w:style w:type="paragraph" w:styleId="Textkrper-Erstzeileneinzug">
    <w:name w:val="Body Text First Indent"/>
    <w:basedOn w:val="Textkrper"/>
    <w:rsid w:val="00BE5457"/>
    <w:pPr>
      <w:spacing w:after="120"/>
      <w:ind w:firstLine="210"/>
    </w:pPr>
    <w:rPr>
      <w:rFonts w:ascii="Times New Roman" w:hAnsi="Times New Roman"/>
      <w:i w:val="0"/>
      <w:iCs w:val="0"/>
    </w:rPr>
  </w:style>
  <w:style w:type="paragraph" w:styleId="Textkrper-Erstzeileneinzug2">
    <w:name w:val="Body Text First Indent 2"/>
    <w:basedOn w:val="Textkrper-Zeileneinzug"/>
    <w:rsid w:val="00BE5457"/>
    <w:pPr>
      <w:spacing w:after="120"/>
      <w:ind w:left="283" w:firstLine="210"/>
    </w:pPr>
    <w:rPr>
      <w:rFonts w:ascii="Times New Roman" w:hAnsi="Times New Roman"/>
    </w:rPr>
  </w:style>
  <w:style w:type="paragraph" w:styleId="Titel">
    <w:name w:val="Title"/>
    <w:basedOn w:val="Standard"/>
    <w:qFormat/>
    <w:rsid w:val="00BE545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sid w:val="00BE5457"/>
    <w:rPr>
      <w:rFonts w:ascii="Arial" w:hAnsi="Arial" w:cs="Arial"/>
    </w:rPr>
  </w:style>
  <w:style w:type="paragraph" w:styleId="Umschlagadresse">
    <w:name w:val="envelope address"/>
    <w:basedOn w:val="Standard"/>
    <w:rsid w:val="00BE5457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Unterschrift">
    <w:name w:val="Signature"/>
    <w:basedOn w:val="Standard"/>
    <w:rsid w:val="00BE5457"/>
    <w:pPr>
      <w:ind w:left="4252"/>
    </w:pPr>
  </w:style>
  <w:style w:type="paragraph" w:styleId="Untertitel">
    <w:name w:val="Subtitle"/>
    <w:basedOn w:val="Standard"/>
    <w:qFormat/>
    <w:rsid w:val="00BE545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Verzeichnis1">
    <w:name w:val="toc 1"/>
    <w:basedOn w:val="Standard"/>
    <w:next w:val="Standard"/>
    <w:autoRedefine/>
    <w:semiHidden/>
    <w:rsid w:val="00BE5457"/>
  </w:style>
  <w:style w:type="paragraph" w:styleId="Verzeichnis2">
    <w:name w:val="toc 2"/>
    <w:basedOn w:val="Standard"/>
    <w:next w:val="Standard"/>
    <w:autoRedefine/>
    <w:semiHidden/>
    <w:rsid w:val="00BE5457"/>
    <w:pPr>
      <w:ind w:left="200"/>
    </w:pPr>
  </w:style>
  <w:style w:type="paragraph" w:styleId="Verzeichnis3">
    <w:name w:val="toc 3"/>
    <w:basedOn w:val="Standard"/>
    <w:next w:val="Standard"/>
    <w:autoRedefine/>
    <w:semiHidden/>
    <w:rsid w:val="00BE5457"/>
    <w:pPr>
      <w:ind w:left="400"/>
    </w:pPr>
  </w:style>
  <w:style w:type="paragraph" w:styleId="Verzeichnis4">
    <w:name w:val="toc 4"/>
    <w:basedOn w:val="Standard"/>
    <w:next w:val="Standard"/>
    <w:autoRedefine/>
    <w:semiHidden/>
    <w:rsid w:val="00BE5457"/>
    <w:pPr>
      <w:ind w:left="600"/>
    </w:pPr>
  </w:style>
  <w:style w:type="paragraph" w:styleId="Verzeichnis5">
    <w:name w:val="toc 5"/>
    <w:basedOn w:val="Standard"/>
    <w:next w:val="Standard"/>
    <w:autoRedefine/>
    <w:semiHidden/>
    <w:rsid w:val="00BE5457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BE5457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BE5457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BE5457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BE5457"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F37DEF8C.dotm</Template>
  <TotalTime>0</TotalTime>
  <Pages>8</Pages>
  <Words>1322</Words>
  <Characters>10172</Characters>
  <Application>Microsoft Office Word</Application>
  <DocSecurity>0</DocSecurity>
  <Lines>84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Muster-Verfahrensanweisung zur Transfusion von Erythrozytenkonzentraten</vt:lpstr>
    </vt:vector>
  </TitlesOfParts>
  <Company>Kliniken</Company>
  <LinksUpToDate>false</LinksUpToDate>
  <CharactersWithSpaces>11472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Muster-Verfahrensanweisung zur Transfusion von Erythrozytenkonzentraten</dc:title>
  <dc:creator>blutbank-vorzimmer</dc:creator>
  <cp:lastModifiedBy>RändlerK</cp:lastModifiedBy>
  <cp:revision>3</cp:revision>
  <cp:lastPrinted>2016-11-22T09:42:00Z</cp:lastPrinted>
  <dcterms:created xsi:type="dcterms:W3CDTF">2016-11-22T13:43:00Z</dcterms:created>
  <dcterms:modified xsi:type="dcterms:W3CDTF">2016-11-22T13:43:00Z</dcterms:modified>
</cp:coreProperties>
</file>